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A0" w:rsidRDefault="00843CA0">
      <w:pPr>
        <w:spacing w:before="240"/>
        <w:jc w:val="both"/>
        <w:rPr>
          <w:rFonts w:ascii="Gill Sans" w:eastAsia="Gill Sans" w:hAnsi="Gill Sans" w:cs="Gill Sans"/>
          <w:b/>
          <w:i/>
          <w:color w:val="FF0000"/>
          <w:sz w:val="40"/>
          <w:szCs w:val="40"/>
        </w:rPr>
      </w:pPr>
      <w:bookmarkStart w:id="0" w:name="_heading=h.gjdgxs" w:colFirst="0" w:colLast="0"/>
      <w:bookmarkStart w:id="1" w:name="_GoBack"/>
      <w:bookmarkEnd w:id="0"/>
      <w:bookmarkEnd w:id="1"/>
    </w:p>
    <w:p w:rsidR="00843CA0" w:rsidRDefault="009A31C0">
      <w:pPr>
        <w:spacing w:before="240" w:line="276" w:lineRule="auto"/>
        <w:jc w:val="center"/>
        <w:rPr>
          <w:rFonts w:ascii="Gill Sans" w:eastAsia="Gill Sans" w:hAnsi="Gill Sans" w:cs="Gill Sans"/>
          <w:b/>
          <w:color w:val="0D0D0D"/>
          <w:sz w:val="40"/>
          <w:szCs w:val="40"/>
        </w:rPr>
      </w:pPr>
      <w:r>
        <w:rPr>
          <w:rFonts w:ascii="Gill Sans" w:eastAsia="Gill Sans" w:hAnsi="Gill Sans" w:cs="Gill Sans"/>
          <w:b/>
          <w:color w:val="0D0D0D"/>
          <w:sz w:val="40"/>
          <w:szCs w:val="40"/>
        </w:rPr>
        <w:t>Ormiston Rivers Academy</w:t>
      </w:r>
    </w:p>
    <w:p w:rsidR="00843CA0" w:rsidRDefault="009A31C0">
      <w:pPr>
        <w:tabs>
          <w:tab w:val="center" w:pos="4532"/>
          <w:tab w:val="left" w:pos="6015"/>
        </w:tabs>
        <w:spacing w:before="240" w:line="276" w:lineRule="auto"/>
        <w:rPr>
          <w:rFonts w:ascii="Gill Sans" w:eastAsia="Gill Sans" w:hAnsi="Gill Sans" w:cs="Gill Sans"/>
          <w:b/>
          <w:color w:val="0091D2"/>
          <w:sz w:val="40"/>
          <w:szCs w:val="40"/>
        </w:rPr>
      </w:pPr>
      <w:r>
        <w:rPr>
          <w:rFonts w:ascii="Gill Sans" w:eastAsia="Gill Sans" w:hAnsi="Gill Sans" w:cs="Gill Sans"/>
          <w:b/>
          <w:i/>
          <w:color w:val="D9D9D9"/>
          <w:sz w:val="40"/>
          <w:szCs w:val="40"/>
        </w:rPr>
        <w:tab/>
      </w:r>
      <w:r>
        <w:rPr>
          <w:rFonts w:ascii="Gill Sans" w:eastAsia="Gill Sans" w:hAnsi="Gill Sans" w:cs="Gill Sans"/>
          <w:b/>
          <w:color w:val="0091D2"/>
          <w:sz w:val="40"/>
          <w:szCs w:val="40"/>
        </w:rPr>
        <w:t>Whistleblowing Policy</w:t>
      </w:r>
    </w:p>
    <w:p w:rsidR="00843CA0" w:rsidRDefault="009A31C0">
      <w:pPr>
        <w:spacing w:before="240" w:line="276" w:lineRule="auto"/>
        <w:jc w:val="center"/>
        <w:rPr>
          <w:rFonts w:ascii="Gill Sans" w:eastAsia="Gill Sans" w:hAnsi="Gill Sans" w:cs="Gill Sans"/>
          <w:b/>
          <w:i/>
          <w:sz w:val="20"/>
          <w:szCs w:val="20"/>
        </w:rPr>
      </w:pPr>
      <w:r>
        <w:rPr>
          <w:rFonts w:ascii="Gill Sans" w:eastAsia="Gill Sans" w:hAnsi="Gill Sans" w:cs="Gill Sans"/>
        </w:rPr>
        <w:t xml:space="preserve">Date adopted: </w:t>
      </w:r>
      <w:r>
        <w:rPr>
          <w:rFonts w:ascii="Gill Sans" w:eastAsia="Gill Sans" w:hAnsi="Gill Sans" w:cs="Gill Sans"/>
          <w:b/>
          <w:i/>
          <w:sz w:val="20"/>
          <w:szCs w:val="20"/>
        </w:rPr>
        <w:t>September 2019</w:t>
      </w:r>
      <w:r>
        <w:rPr>
          <w:rFonts w:ascii="Gill Sans" w:eastAsia="Gill Sans" w:hAnsi="Gill Sans" w:cs="Gill Sans"/>
        </w:rPr>
        <w:tab/>
      </w:r>
      <w:r>
        <w:rPr>
          <w:rFonts w:ascii="Gill Sans" w:eastAsia="Gill Sans" w:hAnsi="Gill Sans" w:cs="Gill Sans"/>
        </w:rPr>
        <w:tab/>
        <w:t xml:space="preserve">       Next review date: </w:t>
      </w:r>
      <w:r>
        <w:rPr>
          <w:rFonts w:ascii="Gill Sans" w:eastAsia="Gill Sans" w:hAnsi="Gill Sans" w:cs="Gill Sans"/>
          <w:b/>
          <w:i/>
          <w:sz w:val="20"/>
          <w:szCs w:val="20"/>
        </w:rPr>
        <w:t>2021</w:t>
      </w:r>
    </w:p>
    <w:p w:rsidR="00843CA0" w:rsidRDefault="00843CA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p>
    <w:tbl>
      <w:tblPr>
        <w:tblStyle w:val="a"/>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1158"/>
        <w:gridCol w:w="5647"/>
      </w:tblGrid>
      <w:tr w:rsidR="00843CA0">
        <w:trPr>
          <w:jc w:val="center"/>
        </w:trPr>
        <w:tc>
          <w:tcPr>
            <w:tcW w:w="4271" w:type="dxa"/>
            <w:gridSpan w:val="2"/>
          </w:tcPr>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Policy prepared by:</w:t>
            </w:r>
          </w:p>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In consultation with:</w:t>
            </w:r>
          </w:p>
        </w:tc>
        <w:tc>
          <w:tcPr>
            <w:tcW w:w="5647" w:type="dxa"/>
          </w:tcPr>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OAT HR</w:t>
            </w:r>
          </w:p>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ASCL, ATL, GMB, NAHT, NASUWT, NUT, Unison and Unite</w:t>
            </w:r>
          </w:p>
        </w:tc>
      </w:tr>
      <w:tr w:rsidR="00843CA0">
        <w:trPr>
          <w:jc w:val="center"/>
        </w:trPr>
        <w:tc>
          <w:tcPr>
            <w:tcW w:w="4271" w:type="dxa"/>
            <w:gridSpan w:val="2"/>
          </w:tcPr>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Original consultation:</w:t>
            </w:r>
          </w:p>
        </w:tc>
        <w:tc>
          <w:tcPr>
            <w:tcW w:w="5647" w:type="dxa"/>
          </w:tcPr>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July 2017</w:t>
            </w:r>
          </w:p>
        </w:tc>
      </w:tr>
      <w:tr w:rsidR="00843CA0">
        <w:trPr>
          <w:jc w:val="center"/>
        </w:trPr>
        <w:tc>
          <w:tcPr>
            <w:tcW w:w="4271" w:type="dxa"/>
            <w:gridSpan w:val="2"/>
          </w:tcPr>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Name and date of executive approval:</w:t>
            </w:r>
          </w:p>
        </w:tc>
        <w:tc>
          <w:tcPr>
            <w:tcW w:w="5647" w:type="dxa"/>
          </w:tcPr>
          <w:p w:rsidR="00843CA0" w:rsidRDefault="009A31C0">
            <w:pPr>
              <w:pBdr>
                <w:top w:val="nil"/>
                <w:left w:val="nil"/>
                <w:bottom w:val="nil"/>
                <w:right w:val="nil"/>
                <w:between w:val="nil"/>
              </w:pBdr>
              <w:tabs>
                <w:tab w:val="left" w:pos="284"/>
              </w:tabs>
              <w:spacing w:after="240"/>
              <w:rPr>
                <w:rFonts w:ascii="Gill Sans" w:eastAsia="Gill Sans" w:hAnsi="Gill Sans" w:cs="Gill Sans"/>
                <w:color w:val="000000"/>
                <w:sz w:val="18"/>
                <w:szCs w:val="18"/>
              </w:rPr>
            </w:pPr>
            <w:r>
              <w:rPr>
                <w:rFonts w:ascii="Gill Sans" w:eastAsia="Gill Sans" w:hAnsi="Gill Sans" w:cs="Gill Sans"/>
                <w:color w:val="000000"/>
                <w:sz w:val="18"/>
                <w:szCs w:val="18"/>
              </w:rPr>
              <w:t xml:space="preserve">Carmel Brown – OAT HR </w:t>
            </w:r>
          </w:p>
          <w:p w:rsidR="00843CA0" w:rsidRDefault="009A31C0">
            <w:pPr>
              <w:pBdr>
                <w:top w:val="nil"/>
                <w:left w:val="nil"/>
                <w:bottom w:val="nil"/>
                <w:right w:val="nil"/>
                <w:between w:val="nil"/>
              </w:pBdr>
              <w:tabs>
                <w:tab w:val="left" w:pos="284"/>
              </w:tabs>
              <w:spacing w:after="240"/>
              <w:rPr>
                <w:rFonts w:ascii="Gill Sans" w:eastAsia="Gill Sans" w:hAnsi="Gill Sans" w:cs="Gill Sans"/>
                <w:color w:val="000000"/>
                <w:sz w:val="18"/>
                <w:szCs w:val="18"/>
              </w:rPr>
            </w:pPr>
            <w:r>
              <w:rPr>
                <w:rFonts w:ascii="Gill Sans" w:eastAsia="Gill Sans" w:hAnsi="Gill Sans" w:cs="Gill Sans"/>
                <w:color w:val="000000"/>
                <w:sz w:val="18"/>
                <w:szCs w:val="18"/>
              </w:rPr>
              <w:t>October 2017</w:t>
            </w:r>
          </w:p>
        </w:tc>
      </w:tr>
      <w:tr w:rsidR="00843CA0">
        <w:trPr>
          <w:jc w:val="center"/>
        </w:trPr>
        <w:tc>
          <w:tcPr>
            <w:tcW w:w="4271" w:type="dxa"/>
            <w:gridSpan w:val="2"/>
          </w:tcPr>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Date ratified by LGB (if required):</w:t>
            </w:r>
          </w:p>
        </w:tc>
        <w:tc>
          <w:tcPr>
            <w:tcW w:w="5647" w:type="dxa"/>
          </w:tcPr>
          <w:p w:rsidR="00843CA0" w:rsidRDefault="00843CA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p>
        </w:tc>
      </w:tr>
      <w:tr w:rsidR="00843CA0">
        <w:trPr>
          <w:jc w:val="center"/>
        </w:trPr>
        <w:tc>
          <w:tcPr>
            <w:tcW w:w="4271" w:type="dxa"/>
            <w:gridSpan w:val="2"/>
          </w:tcPr>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Updated or new policy:</w:t>
            </w:r>
          </w:p>
        </w:tc>
        <w:tc>
          <w:tcPr>
            <w:tcW w:w="5647" w:type="dxa"/>
          </w:tcPr>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Updated</w:t>
            </w:r>
          </w:p>
        </w:tc>
      </w:tr>
      <w:tr w:rsidR="00843CA0">
        <w:trPr>
          <w:jc w:val="center"/>
        </w:trPr>
        <w:tc>
          <w:tcPr>
            <w:tcW w:w="3113" w:type="dxa"/>
            <w:vMerge w:val="restart"/>
            <w:vAlign w:val="center"/>
          </w:tcPr>
          <w:p w:rsidR="00843CA0" w:rsidRDefault="009A31C0">
            <w:pPr>
              <w:pBdr>
                <w:top w:val="nil"/>
                <w:left w:val="nil"/>
                <w:bottom w:val="nil"/>
                <w:right w:val="nil"/>
                <w:between w:val="nil"/>
              </w:pBdr>
              <w:tabs>
                <w:tab w:val="left" w:pos="284"/>
              </w:tabs>
              <w:spacing w:after="240" w:line="276" w:lineRule="auto"/>
              <w:jc w:val="center"/>
              <w:rPr>
                <w:rFonts w:ascii="Gill Sans" w:eastAsia="Gill Sans" w:hAnsi="Gill Sans" w:cs="Gill Sans"/>
                <w:color w:val="000000"/>
                <w:sz w:val="20"/>
                <w:szCs w:val="20"/>
              </w:rPr>
            </w:pPr>
            <w:r>
              <w:rPr>
                <w:rFonts w:ascii="Gill Sans" w:eastAsia="Gill Sans" w:hAnsi="Gill Sans" w:cs="Gill Sans"/>
                <w:color w:val="000000"/>
                <w:sz w:val="20"/>
                <w:szCs w:val="20"/>
              </w:rPr>
              <w:t>Adoption of this policy:</w:t>
            </w:r>
          </w:p>
        </w:tc>
        <w:tc>
          <w:tcPr>
            <w:tcW w:w="1158" w:type="dxa"/>
          </w:tcPr>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Academies transferring to OAT after 01/09/2014</w:t>
            </w:r>
          </w:p>
        </w:tc>
        <w:tc>
          <w:tcPr>
            <w:tcW w:w="5647" w:type="dxa"/>
          </w:tcPr>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To adopt this policy under the terms of the TUPE transfer.</w:t>
            </w:r>
          </w:p>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Only required to</w:t>
            </w:r>
            <w:r>
              <w:rPr>
                <w:rFonts w:ascii="Gill Sans" w:eastAsia="Gill Sans" w:hAnsi="Gill Sans" w:cs="Gill Sans"/>
                <w:b/>
                <w:color w:val="000000"/>
                <w:sz w:val="20"/>
                <w:szCs w:val="20"/>
              </w:rPr>
              <w:t xml:space="preserve"> inform </w:t>
            </w:r>
            <w:r>
              <w:rPr>
                <w:rFonts w:ascii="Gill Sans" w:eastAsia="Gill Sans" w:hAnsi="Gill Sans" w:cs="Gill Sans"/>
                <w:color w:val="000000"/>
                <w:sz w:val="20"/>
                <w:szCs w:val="20"/>
              </w:rPr>
              <w:t>staff of any changed agreed with unions at national level.</w:t>
            </w:r>
          </w:p>
        </w:tc>
      </w:tr>
      <w:tr w:rsidR="00843CA0">
        <w:trPr>
          <w:jc w:val="center"/>
        </w:trPr>
        <w:tc>
          <w:tcPr>
            <w:tcW w:w="3113" w:type="dxa"/>
            <w:vMerge/>
            <w:vAlign w:val="center"/>
          </w:tcPr>
          <w:p w:rsidR="00843CA0" w:rsidRDefault="00843CA0">
            <w:pPr>
              <w:widowControl w:val="0"/>
              <w:pBdr>
                <w:top w:val="nil"/>
                <w:left w:val="nil"/>
                <w:bottom w:val="nil"/>
                <w:right w:val="nil"/>
                <w:between w:val="nil"/>
              </w:pBdr>
              <w:spacing w:line="276" w:lineRule="auto"/>
              <w:rPr>
                <w:rFonts w:ascii="Gill Sans" w:eastAsia="Gill Sans" w:hAnsi="Gill Sans" w:cs="Gill Sans"/>
                <w:color w:val="000000"/>
                <w:sz w:val="20"/>
                <w:szCs w:val="20"/>
              </w:rPr>
            </w:pPr>
          </w:p>
        </w:tc>
        <w:tc>
          <w:tcPr>
            <w:tcW w:w="1158" w:type="dxa"/>
          </w:tcPr>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Academies that transferred before 01/09/2014</w:t>
            </w:r>
          </w:p>
        </w:tc>
        <w:tc>
          <w:tcPr>
            <w:tcW w:w="5647" w:type="dxa"/>
          </w:tcPr>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Can choose to consult locally and adopt.</w:t>
            </w:r>
          </w:p>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In these situations, the Principal should issue the policy to all staff and academy representatives for consultation over a calendar month. The district union offices should be copied in.</w:t>
            </w:r>
          </w:p>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Once adopted, any further changes consulted with the JCC will follow</w:t>
            </w:r>
            <w:r>
              <w:rPr>
                <w:rFonts w:ascii="Gill Sans" w:eastAsia="Gill Sans" w:hAnsi="Gill Sans" w:cs="Gill Sans"/>
                <w:color w:val="000000"/>
                <w:sz w:val="20"/>
                <w:szCs w:val="20"/>
              </w:rPr>
              <w:t xml:space="preserve"> the process of</w:t>
            </w:r>
            <w:r>
              <w:rPr>
                <w:rFonts w:ascii="Gill Sans" w:eastAsia="Gill Sans" w:hAnsi="Gill Sans" w:cs="Gill Sans"/>
                <w:b/>
                <w:color w:val="000000"/>
                <w:sz w:val="20"/>
                <w:szCs w:val="20"/>
              </w:rPr>
              <w:t xml:space="preserve"> informing</w:t>
            </w:r>
            <w:r>
              <w:rPr>
                <w:rFonts w:ascii="Gill Sans" w:eastAsia="Gill Sans" w:hAnsi="Gill Sans" w:cs="Gill Sans"/>
                <w:color w:val="000000"/>
                <w:sz w:val="20"/>
                <w:szCs w:val="20"/>
              </w:rPr>
              <w:t xml:space="preserve"> not consulting.</w:t>
            </w:r>
          </w:p>
        </w:tc>
      </w:tr>
      <w:tr w:rsidR="00843CA0">
        <w:trPr>
          <w:jc w:val="center"/>
        </w:trPr>
        <w:tc>
          <w:tcPr>
            <w:tcW w:w="4271" w:type="dxa"/>
            <w:gridSpan w:val="2"/>
          </w:tcPr>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Date released:</w:t>
            </w:r>
          </w:p>
        </w:tc>
        <w:tc>
          <w:tcPr>
            <w:tcW w:w="5647" w:type="dxa"/>
          </w:tcPr>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October 2017</w:t>
            </w:r>
          </w:p>
        </w:tc>
      </w:tr>
      <w:tr w:rsidR="00843CA0">
        <w:trPr>
          <w:jc w:val="center"/>
        </w:trPr>
        <w:tc>
          <w:tcPr>
            <w:tcW w:w="4271" w:type="dxa"/>
            <w:gridSpan w:val="2"/>
          </w:tcPr>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Review date:</w:t>
            </w:r>
          </w:p>
        </w:tc>
        <w:tc>
          <w:tcPr>
            <w:tcW w:w="5647" w:type="dxa"/>
          </w:tcPr>
          <w:p w:rsidR="00843CA0" w:rsidRDefault="009A31C0">
            <w:pPr>
              <w:pBdr>
                <w:top w:val="nil"/>
                <w:left w:val="nil"/>
                <w:bottom w:val="nil"/>
                <w:right w:val="nil"/>
                <w:between w:val="nil"/>
              </w:pBdr>
              <w:tabs>
                <w:tab w:val="left" w:pos="284"/>
              </w:tabs>
              <w:spacing w:after="240" w:line="276" w:lineRule="auto"/>
              <w:rPr>
                <w:rFonts w:ascii="Gill Sans" w:eastAsia="Gill Sans" w:hAnsi="Gill Sans" w:cs="Gill Sans"/>
                <w:color w:val="000000"/>
                <w:sz w:val="20"/>
                <w:szCs w:val="20"/>
              </w:rPr>
            </w:pPr>
            <w:r>
              <w:rPr>
                <w:rFonts w:ascii="Gill Sans" w:eastAsia="Gill Sans" w:hAnsi="Gill Sans" w:cs="Gill Sans"/>
                <w:color w:val="000000"/>
                <w:sz w:val="20"/>
                <w:szCs w:val="20"/>
              </w:rPr>
              <w:t>October 20</w:t>
            </w:r>
            <w:r>
              <w:rPr>
                <w:rFonts w:ascii="Gill Sans" w:eastAsia="Gill Sans" w:hAnsi="Gill Sans" w:cs="Gill Sans"/>
                <w:sz w:val="20"/>
                <w:szCs w:val="20"/>
              </w:rPr>
              <w:t>21</w:t>
            </w:r>
          </w:p>
        </w:tc>
      </w:tr>
    </w:tbl>
    <w:p w:rsidR="00843CA0" w:rsidRDefault="00843CA0">
      <w:pPr>
        <w:rPr>
          <w:rFonts w:ascii="Gill Sans" w:eastAsia="Gill Sans" w:hAnsi="Gill Sans" w:cs="Gill Sans"/>
          <w:sz w:val="20"/>
          <w:szCs w:val="20"/>
        </w:rPr>
      </w:pPr>
    </w:p>
    <w:p w:rsidR="00843CA0" w:rsidRDefault="00843CA0">
      <w:pPr>
        <w:rPr>
          <w:sz w:val="40"/>
          <w:szCs w:val="40"/>
        </w:rPr>
      </w:pPr>
    </w:p>
    <w:p w:rsidR="00843CA0" w:rsidRDefault="00843CA0">
      <w:pPr>
        <w:rPr>
          <w:sz w:val="40"/>
          <w:szCs w:val="40"/>
        </w:rPr>
      </w:pPr>
    </w:p>
    <w:p w:rsidR="00843CA0" w:rsidRDefault="00843CA0">
      <w:pPr>
        <w:rPr>
          <w:sz w:val="40"/>
          <w:szCs w:val="40"/>
        </w:rPr>
      </w:pPr>
    </w:p>
    <w:p w:rsidR="00843CA0" w:rsidRDefault="00843CA0">
      <w:pPr>
        <w:rPr>
          <w:rFonts w:ascii="Gill Sans" w:eastAsia="Gill Sans" w:hAnsi="Gill Sans" w:cs="Gill Sans"/>
          <w:color w:val="0092D2"/>
          <w:sz w:val="40"/>
          <w:szCs w:val="40"/>
        </w:rPr>
      </w:pPr>
    </w:p>
    <w:p w:rsidR="00843CA0" w:rsidRDefault="009A31C0">
      <w:p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t>Contents</w:t>
      </w:r>
    </w:p>
    <w:p w:rsidR="00843CA0" w:rsidRDefault="009A31C0">
      <w:p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t>Page</w:t>
      </w:r>
    </w:p>
    <w:p w:rsidR="00843CA0" w:rsidRDefault="00843CA0">
      <w:pPr>
        <w:pBdr>
          <w:top w:val="nil"/>
          <w:left w:val="nil"/>
          <w:bottom w:val="nil"/>
          <w:right w:val="nil"/>
          <w:between w:val="nil"/>
        </w:pBdr>
        <w:spacing w:after="60" w:line="270" w:lineRule="auto"/>
        <w:rPr>
          <w:rFonts w:ascii="Gill Sans" w:eastAsia="Gill Sans" w:hAnsi="Gill Sans" w:cs="Gill Sans"/>
          <w:color w:val="000000"/>
        </w:rPr>
      </w:pPr>
    </w:p>
    <w:p w:rsidR="00843CA0" w:rsidRDefault="009A31C0">
      <w:pPr>
        <w:numPr>
          <w:ilvl w:val="0"/>
          <w:numId w:val="1"/>
        </w:num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Introduction</w:t>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t>3</w:t>
      </w:r>
    </w:p>
    <w:p w:rsidR="00843CA0" w:rsidRDefault="009A31C0">
      <w:pPr>
        <w:numPr>
          <w:ilvl w:val="0"/>
          <w:numId w:val="1"/>
        </w:num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Aims and Scope of this Policy</w:t>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t>3</w:t>
      </w:r>
    </w:p>
    <w:p w:rsidR="00843CA0" w:rsidRDefault="009A31C0">
      <w:pPr>
        <w:numPr>
          <w:ilvl w:val="0"/>
          <w:numId w:val="1"/>
        </w:numPr>
        <w:pBdr>
          <w:top w:val="nil"/>
          <w:left w:val="nil"/>
          <w:bottom w:val="nil"/>
          <w:right w:val="nil"/>
          <w:between w:val="nil"/>
        </w:pBdr>
        <w:spacing w:after="60" w:line="270" w:lineRule="auto"/>
        <w:rPr>
          <w:rFonts w:ascii="Gill Sans" w:eastAsia="Gill Sans" w:hAnsi="Gill Sans" w:cs="Gill Sans"/>
          <w:color w:val="000000"/>
          <w:sz w:val="21"/>
          <w:szCs w:val="21"/>
        </w:rPr>
      </w:pPr>
      <w:r>
        <w:rPr>
          <w:rFonts w:ascii="Gill Sans" w:eastAsia="Gill Sans" w:hAnsi="Gill Sans" w:cs="Gill Sans"/>
          <w:color w:val="000000"/>
        </w:rPr>
        <w:t>How to Raise a Concern</w:t>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sz w:val="21"/>
          <w:szCs w:val="21"/>
        </w:rPr>
        <w:tab/>
      </w:r>
      <w:r>
        <w:rPr>
          <w:rFonts w:ascii="Gill Sans" w:eastAsia="Gill Sans" w:hAnsi="Gill Sans" w:cs="Gill Sans"/>
          <w:color w:val="000000"/>
          <w:sz w:val="21"/>
          <w:szCs w:val="21"/>
        </w:rPr>
        <w:tab/>
      </w:r>
      <w:r>
        <w:rPr>
          <w:rFonts w:ascii="Gill Sans" w:eastAsia="Gill Sans" w:hAnsi="Gill Sans" w:cs="Gill Sans"/>
          <w:color w:val="000000"/>
          <w:sz w:val="21"/>
          <w:szCs w:val="21"/>
        </w:rPr>
        <w:tab/>
      </w:r>
      <w:r>
        <w:rPr>
          <w:rFonts w:ascii="Gill Sans" w:eastAsia="Gill Sans" w:hAnsi="Gill Sans" w:cs="Gill Sans"/>
          <w:color w:val="000000"/>
          <w:sz w:val="21"/>
          <w:szCs w:val="21"/>
        </w:rPr>
        <w:tab/>
      </w:r>
      <w:r>
        <w:rPr>
          <w:rFonts w:ascii="Gill Sans" w:eastAsia="Gill Sans" w:hAnsi="Gill Sans" w:cs="Gill Sans"/>
          <w:color w:val="000000"/>
          <w:sz w:val="21"/>
          <w:szCs w:val="21"/>
        </w:rPr>
        <w:tab/>
        <w:t>4</w:t>
      </w:r>
    </w:p>
    <w:p w:rsidR="00843CA0" w:rsidRDefault="009A31C0">
      <w:pPr>
        <w:numPr>
          <w:ilvl w:val="0"/>
          <w:numId w:val="1"/>
        </w:num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How Ormiston Academies Trust Will Respond</w:t>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t>4</w:t>
      </w:r>
    </w:p>
    <w:p w:rsidR="00843CA0" w:rsidRDefault="009A31C0">
      <w:pPr>
        <w:numPr>
          <w:ilvl w:val="0"/>
          <w:numId w:val="1"/>
        </w:num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Safeguards Harassment or Victimisation</w:t>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t>5</w:t>
      </w:r>
    </w:p>
    <w:p w:rsidR="00843CA0" w:rsidRDefault="009A31C0">
      <w:pPr>
        <w:numPr>
          <w:ilvl w:val="0"/>
          <w:numId w:val="1"/>
        </w:num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Confidentiality</w:t>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t>5</w:t>
      </w:r>
    </w:p>
    <w:p w:rsidR="00843CA0" w:rsidRDefault="009A31C0">
      <w:pPr>
        <w:numPr>
          <w:ilvl w:val="0"/>
          <w:numId w:val="1"/>
        </w:num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Anonymous Allegations</w:t>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t>5</w:t>
      </w:r>
    </w:p>
    <w:p w:rsidR="00843CA0" w:rsidRDefault="009A31C0">
      <w:pPr>
        <w:numPr>
          <w:ilvl w:val="0"/>
          <w:numId w:val="1"/>
        </w:num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Untrue Allegations</w:t>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t>5</w:t>
      </w:r>
    </w:p>
    <w:p w:rsidR="00843CA0" w:rsidRDefault="009A31C0">
      <w:pPr>
        <w:numPr>
          <w:ilvl w:val="0"/>
          <w:numId w:val="1"/>
        </w:num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How the Matter Can Be Taken Further</w:t>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t>6</w:t>
      </w:r>
    </w:p>
    <w:p w:rsidR="00843CA0" w:rsidRDefault="009A31C0">
      <w:pPr>
        <w:numPr>
          <w:ilvl w:val="0"/>
          <w:numId w:val="1"/>
        </w:num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Review</w:t>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t>6</w:t>
      </w:r>
    </w:p>
    <w:p w:rsidR="00843CA0" w:rsidRDefault="00843CA0">
      <w:pPr>
        <w:spacing w:line="269" w:lineRule="auto"/>
        <w:rPr>
          <w:rFonts w:ascii="Arial" w:eastAsia="Arial" w:hAnsi="Arial" w:cs="Arial"/>
        </w:rPr>
      </w:pPr>
    </w:p>
    <w:p w:rsidR="00843CA0" w:rsidRDefault="00843CA0">
      <w:pPr>
        <w:spacing w:before="240"/>
        <w:jc w:val="center"/>
        <w:rPr>
          <w:rFonts w:ascii="Gill Sans" w:eastAsia="Gill Sans" w:hAnsi="Gill Sans" w:cs="Gill Sans"/>
          <w:b/>
          <w:sz w:val="20"/>
          <w:szCs w:val="20"/>
        </w:rPr>
      </w:pPr>
    </w:p>
    <w:p w:rsidR="00843CA0" w:rsidRDefault="009A31C0">
      <w:pPr>
        <w:pBdr>
          <w:top w:val="nil"/>
          <w:left w:val="nil"/>
          <w:bottom w:val="nil"/>
          <w:right w:val="nil"/>
          <w:between w:val="nil"/>
        </w:pBdr>
        <w:spacing w:before="480" w:after="120" w:line="400" w:lineRule="auto"/>
        <w:rPr>
          <w:rFonts w:ascii="Gill Sans" w:eastAsia="Gill Sans" w:hAnsi="Gill Sans" w:cs="Gill Sans"/>
          <w:b/>
          <w:color w:val="0D0D0D"/>
          <w:sz w:val="40"/>
          <w:szCs w:val="40"/>
        </w:rPr>
      </w:pPr>
      <w:r>
        <w:br w:type="page"/>
      </w:r>
      <w:r>
        <w:rPr>
          <w:rFonts w:ascii="Gill Sans" w:eastAsia="Gill Sans" w:hAnsi="Gill Sans" w:cs="Gill Sans"/>
          <w:color w:val="0092D2"/>
          <w:sz w:val="40"/>
          <w:szCs w:val="40"/>
        </w:rPr>
        <w:lastRenderedPageBreak/>
        <w:t>1.</w:t>
      </w:r>
      <w:r>
        <w:rPr>
          <w:rFonts w:ascii="Gill Sans" w:eastAsia="Gill Sans" w:hAnsi="Gill Sans" w:cs="Gill Sans"/>
          <w:color w:val="0092D2"/>
          <w:sz w:val="40"/>
          <w:szCs w:val="40"/>
        </w:rPr>
        <w:tab/>
        <w:t>Introduction</w:t>
      </w:r>
    </w:p>
    <w:p w:rsidR="00843CA0" w:rsidRDefault="00843CA0">
      <w:pPr>
        <w:spacing w:before="1"/>
        <w:rPr>
          <w:rFonts w:ascii="Arial" w:eastAsia="Arial" w:hAnsi="Arial" w:cs="Arial"/>
          <w:b/>
          <w:sz w:val="21"/>
          <w:szCs w:val="21"/>
        </w:rPr>
      </w:pP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1.1</w:t>
      </w:r>
      <w:r>
        <w:rPr>
          <w:rFonts w:ascii="Gill Sans" w:eastAsia="Gill Sans" w:hAnsi="Gill Sans" w:cs="Gill Sans"/>
          <w:color w:val="000000"/>
          <w:sz w:val="18"/>
          <w:szCs w:val="18"/>
        </w:rPr>
        <w:tab/>
        <w:t>Employees are often the first to realise that there may be something seriously wrong within an organisation and/or Academy. However, they may not express their concerns because they feel that speaking up would be disloyal to their colleagues or to an A</w:t>
      </w:r>
      <w:r>
        <w:rPr>
          <w:rFonts w:ascii="Gill Sans" w:eastAsia="Gill Sans" w:hAnsi="Gill Sans" w:cs="Gill Sans"/>
          <w:color w:val="000000"/>
          <w:sz w:val="18"/>
          <w:szCs w:val="18"/>
        </w:rPr>
        <w:t>cademy. They may also fear harassment or victimisation. In these circumstances, they may feel it is easier to ignore the concern rather than report what may just be a suspicion of malpractice.</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1.2</w:t>
      </w:r>
      <w:r>
        <w:rPr>
          <w:rFonts w:ascii="Gill Sans" w:eastAsia="Gill Sans" w:hAnsi="Gill Sans" w:cs="Gill Sans"/>
          <w:color w:val="000000"/>
          <w:sz w:val="18"/>
          <w:szCs w:val="18"/>
        </w:rPr>
        <w:tab/>
        <w:t>Ormiston Academies Trust insist on having an open and hones</w:t>
      </w:r>
      <w:r>
        <w:rPr>
          <w:rFonts w:ascii="Gill Sans" w:eastAsia="Gill Sans" w:hAnsi="Gill Sans" w:cs="Gill Sans"/>
          <w:color w:val="000000"/>
          <w:sz w:val="18"/>
          <w:szCs w:val="18"/>
        </w:rPr>
        <w:t>t culture and is committed to the highest possible standards of probity and accountability. In line with that commitment we encourage employees with serious concerns about any aspects of the organisation’s work to come forward and voice those concerns. Con</w:t>
      </w:r>
      <w:r>
        <w:rPr>
          <w:rFonts w:ascii="Gill Sans" w:eastAsia="Gill Sans" w:hAnsi="Gill Sans" w:cs="Gill Sans"/>
          <w:color w:val="000000"/>
          <w:sz w:val="18"/>
          <w:szCs w:val="18"/>
        </w:rPr>
        <w:t>fidentiality will be maintained as far as is possible. It is guaranteed at the point of making a protected disclosure and will be maintained during investigations and hearings, other than when there is a need for disclosure of identity due to cross examina</w:t>
      </w:r>
      <w:r>
        <w:rPr>
          <w:rFonts w:ascii="Gill Sans" w:eastAsia="Gill Sans" w:hAnsi="Gill Sans" w:cs="Gill Sans"/>
          <w:color w:val="000000"/>
          <w:sz w:val="18"/>
          <w:szCs w:val="18"/>
        </w:rPr>
        <w:t>tion of the staff member as a witness in any subsequent procedure.</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1.3</w:t>
      </w:r>
      <w:r>
        <w:rPr>
          <w:rFonts w:ascii="Gill Sans" w:eastAsia="Gill Sans" w:hAnsi="Gill Sans" w:cs="Gill Sans"/>
          <w:color w:val="000000"/>
          <w:sz w:val="18"/>
          <w:szCs w:val="18"/>
        </w:rPr>
        <w:tab/>
        <w:t>This policy is intended to encourage and enable employees to raise serious concerns within one of our Academies or Ormiston Academies Trust generally, irrespective of seniority, rank or</w:t>
      </w:r>
      <w:r>
        <w:rPr>
          <w:rFonts w:ascii="Gill Sans" w:eastAsia="Gill Sans" w:hAnsi="Gill Sans" w:cs="Gill Sans"/>
          <w:color w:val="000000"/>
          <w:sz w:val="18"/>
          <w:szCs w:val="18"/>
        </w:rPr>
        <w:t xml:space="preserve"> status, rather than overlooking a problem or reporting the matter externally. It does not override workers’ legal rights to make a protected disclosure to certain third parties under the Public Interest Disclosure Act 1998 (PIDA), as incorporated into the</w:t>
      </w:r>
      <w:r>
        <w:rPr>
          <w:rFonts w:ascii="Gill Sans" w:eastAsia="Gill Sans" w:hAnsi="Gill Sans" w:cs="Gill Sans"/>
          <w:color w:val="000000"/>
          <w:sz w:val="18"/>
          <w:szCs w:val="18"/>
        </w:rPr>
        <w:t xml:space="preserve"> Employment Rights Act 1996.</w:t>
      </w:r>
    </w:p>
    <w:p w:rsidR="00843CA0" w:rsidRDefault="009A31C0">
      <w:pPr>
        <w:pBdr>
          <w:top w:val="nil"/>
          <w:left w:val="nil"/>
          <w:bottom w:val="nil"/>
          <w:right w:val="nil"/>
          <w:between w:val="nil"/>
        </w:pBdr>
        <w:spacing w:before="480" w:after="120" w:line="400" w:lineRule="auto"/>
        <w:rPr>
          <w:rFonts w:ascii="Gill Sans" w:eastAsia="Gill Sans" w:hAnsi="Gill Sans" w:cs="Gill Sans"/>
          <w:b/>
          <w:color w:val="0092D2"/>
          <w:sz w:val="40"/>
          <w:szCs w:val="40"/>
        </w:rPr>
      </w:pPr>
      <w:r>
        <w:rPr>
          <w:rFonts w:ascii="Gill Sans" w:eastAsia="Gill Sans" w:hAnsi="Gill Sans" w:cs="Gill Sans"/>
          <w:color w:val="0092D2"/>
          <w:sz w:val="40"/>
          <w:szCs w:val="40"/>
        </w:rPr>
        <w:t>2.</w:t>
      </w:r>
      <w:r>
        <w:rPr>
          <w:rFonts w:ascii="Gill Sans" w:eastAsia="Gill Sans" w:hAnsi="Gill Sans" w:cs="Gill Sans"/>
          <w:color w:val="0092D2"/>
          <w:sz w:val="40"/>
          <w:szCs w:val="40"/>
        </w:rPr>
        <w:tab/>
        <w:t>Aims and Scope of this Policy</w:t>
      </w:r>
    </w:p>
    <w:p w:rsidR="00843CA0" w:rsidRDefault="009A31C0">
      <w:pPr>
        <w:pBdr>
          <w:top w:val="nil"/>
          <w:left w:val="nil"/>
          <w:bottom w:val="nil"/>
          <w:right w:val="nil"/>
          <w:between w:val="nil"/>
        </w:pBdr>
        <w:tabs>
          <w:tab w:val="left" w:pos="284"/>
        </w:tabs>
        <w:spacing w:after="240"/>
        <w:rPr>
          <w:rFonts w:ascii="Gill Sans" w:eastAsia="Gill Sans" w:hAnsi="Gill Sans" w:cs="Gill Sans"/>
          <w:color w:val="000000"/>
          <w:sz w:val="18"/>
          <w:szCs w:val="18"/>
        </w:rPr>
      </w:pPr>
      <w:r>
        <w:rPr>
          <w:rFonts w:ascii="Gill Sans" w:eastAsia="Gill Sans" w:hAnsi="Gill Sans" w:cs="Gill Sans"/>
          <w:color w:val="000000"/>
          <w:sz w:val="18"/>
          <w:szCs w:val="18"/>
        </w:rPr>
        <w:t>2.1</w:t>
      </w:r>
      <w:r>
        <w:rPr>
          <w:rFonts w:ascii="Gill Sans" w:eastAsia="Gill Sans" w:hAnsi="Gill Sans" w:cs="Gill Sans"/>
          <w:color w:val="000000"/>
          <w:sz w:val="18"/>
          <w:szCs w:val="18"/>
        </w:rPr>
        <w:tab/>
        <w:t>This policy aims to:</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provide avenues for staff to raise concerns and receive feedback on any action taken</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allows staff to take the matter further if dissatisfied with the management response, and</w:t>
      </w:r>
    </w:p>
    <w:p w:rsidR="00843CA0" w:rsidRDefault="009A31C0">
      <w:pPr>
        <w:numPr>
          <w:ilvl w:val="0"/>
          <w:numId w:val="2"/>
        </w:numPr>
        <w:pBdr>
          <w:top w:val="nil"/>
          <w:left w:val="nil"/>
          <w:bottom w:val="nil"/>
          <w:right w:val="nil"/>
          <w:between w:val="nil"/>
        </w:pBdr>
        <w:tabs>
          <w:tab w:val="left" w:pos="284"/>
        </w:tabs>
        <w:spacing w:after="240"/>
      </w:pPr>
      <w:r>
        <w:rPr>
          <w:rFonts w:ascii="Gill Sans" w:eastAsia="Gill Sans" w:hAnsi="Gill Sans" w:cs="Gill Sans"/>
          <w:color w:val="000000"/>
          <w:sz w:val="18"/>
          <w:szCs w:val="18"/>
        </w:rPr>
        <w:t>reassures employees that they will be protected from reprisals or victimisation for confidential reporting in good faith</w:t>
      </w:r>
    </w:p>
    <w:p w:rsidR="00843CA0" w:rsidRDefault="009A31C0">
      <w:pPr>
        <w:pBdr>
          <w:top w:val="nil"/>
          <w:left w:val="nil"/>
          <w:bottom w:val="nil"/>
          <w:right w:val="nil"/>
          <w:between w:val="nil"/>
        </w:pBdr>
        <w:tabs>
          <w:tab w:val="left" w:pos="284"/>
        </w:tabs>
        <w:spacing w:after="240"/>
        <w:rPr>
          <w:rFonts w:ascii="Gill Sans" w:eastAsia="Gill Sans" w:hAnsi="Gill Sans" w:cs="Gill Sans"/>
          <w:color w:val="000000"/>
          <w:sz w:val="18"/>
          <w:szCs w:val="18"/>
        </w:rPr>
      </w:pPr>
      <w:r>
        <w:rPr>
          <w:rFonts w:ascii="Gill Sans" w:eastAsia="Gill Sans" w:hAnsi="Gill Sans" w:cs="Gill Sans"/>
          <w:color w:val="000000"/>
          <w:sz w:val="18"/>
          <w:szCs w:val="18"/>
        </w:rPr>
        <w:t>2.2</w:t>
      </w:r>
      <w:r>
        <w:rPr>
          <w:rFonts w:ascii="Gill Sans" w:eastAsia="Gill Sans" w:hAnsi="Gill Sans" w:cs="Gill Sans"/>
          <w:color w:val="000000"/>
          <w:sz w:val="18"/>
          <w:szCs w:val="18"/>
        </w:rPr>
        <w:tab/>
        <w:t>This policy is intended to cover concerns</w:t>
      </w:r>
      <w:r>
        <w:rPr>
          <w:rFonts w:ascii="Gill Sans" w:eastAsia="Gill Sans" w:hAnsi="Gill Sans" w:cs="Gill Sans"/>
          <w:color w:val="000000"/>
          <w:sz w:val="18"/>
          <w:szCs w:val="18"/>
        </w:rPr>
        <w:t xml:space="preserve"> which fall outside the scope of the grievance or other procedures.</w:t>
      </w:r>
    </w:p>
    <w:p w:rsidR="00843CA0" w:rsidRDefault="009A31C0">
      <w:pPr>
        <w:pBdr>
          <w:top w:val="nil"/>
          <w:left w:val="nil"/>
          <w:bottom w:val="nil"/>
          <w:right w:val="nil"/>
          <w:between w:val="nil"/>
        </w:pBdr>
        <w:tabs>
          <w:tab w:val="left" w:pos="284"/>
        </w:tabs>
        <w:spacing w:after="240"/>
        <w:rPr>
          <w:rFonts w:ascii="Gill Sans" w:eastAsia="Gill Sans" w:hAnsi="Gill Sans" w:cs="Gill Sans"/>
          <w:color w:val="000000"/>
          <w:sz w:val="18"/>
          <w:szCs w:val="18"/>
        </w:rPr>
      </w:pPr>
      <w:r>
        <w:rPr>
          <w:rFonts w:ascii="Gill Sans" w:eastAsia="Gill Sans" w:hAnsi="Gill Sans" w:cs="Gill Sans"/>
          <w:color w:val="000000"/>
          <w:sz w:val="18"/>
          <w:szCs w:val="18"/>
        </w:rPr>
        <w:t>2.3</w:t>
      </w:r>
      <w:r>
        <w:rPr>
          <w:rFonts w:ascii="Gill Sans" w:eastAsia="Gill Sans" w:hAnsi="Gill Sans" w:cs="Gill Sans"/>
          <w:color w:val="000000"/>
          <w:sz w:val="18"/>
          <w:szCs w:val="18"/>
        </w:rPr>
        <w:tab/>
        <w:t>This policy applies to temporary, casual and agency staff, as well as employees.</w:t>
      </w:r>
    </w:p>
    <w:p w:rsidR="00843CA0" w:rsidRDefault="009A31C0">
      <w:pPr>
        <w:pBdr>
          <w:top w:val="nil"/>
          <w:left w:val="nil"/>
          <w:bottom w:val="nil"/>
          <w:right w:val="nil"/>
          <w:between w:val="nil"/>
        </w:pBdr>
        <w:tabs>
          <w:tab w:val="left" w:pos="284"/>
        </w:tabs>
        <w:spacing w:after="240"/>
        <w:rPr>
          <w:rFonts w:ascii="Gill Sans" w:eastAsia="Gill Sans" w:hAnsi="Gill Sans" w:cs="Gill Sans"/>
          <w:color w:val="000000"/>
          <w:sz w:val="18"/>
          <w:szCs w:val="18"/>
        </w:rPr>
      </w:pPr>
      <w:r>
        <w:rPr>
          <w:rFonts w:ascii="Gill Sans" w:eastAsia="Gill Sans" w:hAnsi="Gill Sans" w:cs="Gill Sans"/>
          <w:color w:val="000000"/>
          <w:sz w:val="18"/>
          <w:szCs w:val="18"/>
        </w:rPr>
        <w:t>2.4</w:t>
      </w:r>
      <w:r>
        <w:rPr>
          <w:rFonts w:ascii="Gill Sans" w:eastAsia="Gill Sans" w:hAnsi="Gill Sans" w:cs="Gill Sans"/>
          <w:color w:val="000000"/>
          <w:sz w:val="18"/>
          <w:szCs w:val="18"/>
        </w:rPr>
        <w:tab/>
        <w:t>Concerns must be raised when employees reasonably believe that one or more of the following has occ</w:t>
      </w:r>
      <w:r>
        <w:rPr>
          <w:rFonts w:ascii="Gill Sans" w:eastAsia="Gill Sans" w:hAnsi="Gill Sans" w:cs="Gill Sans"/>
          <w:color w:val="000000"/>
          <w:sz w:val="18"/>
          <w:szCs w:val="18"/>
        </w:rPr>
        <w:t>urred, is in the process of occurring, or is likely to occur:</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a criminal offence</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a failure to comply with a legal obligation</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improper unauthorised use of public funds or other funds</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a miscarriage of justice</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maladministration, misconduct or malpractice</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endangering of an individual’s health and safety or welfare</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damage to the environment</w:t>
      </w:r>
    </w:p>
    <w:p w:rsidR="00843CA0" w:rsidRDefault="009A31C0">
      <w:pPr>
        <w:numPr>
          <w:ilvl w:val="0"/>
          <w:numId w:val="2"/>
        </w:numPr>
        <w:pBdr>
          <w:top w:val="nil"/>
          <w:left w:val="nil"/>
          <w:bottom w:val="nil"/>
          <w:right w:val="nil"/>
          <w:between w:val="nil"/>
        </w:pBdr>
        <w:tabs>
          <w:tab w:val="left" w:pos="284"/>
        </w:tabs>
        <w:spacing w:after="240"/>
      </w:pPr>
      <w:r>
        <w:rPr>
          <w:rFonts w:ascii="Gill Sans" w:eastAsia="Gill Sans" w:hAnsi="Gill Sans" w:cs="Gill Sans"/>
          <w:color w:val="000000"/>
          <w:sz w:val="18"/>
          <w:szCs w:val="18"/>
        </w:rPr>
        <w:t>deliberate concealment of any of the above</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2.5</w:t>
      </w:r>
      <w:r>
        <w:rPr>
          <w:rFonts w:ascii="Gill Sans" w:eastAsia="Gill Sans" w:hAnsi="Gill Sans" w:cs="Gill Sans"/>
          <w:color w:val="000000"/>
          <w:sz w:val="18"/>
          <w:szCs w:val="18"/>
        </w:rPr>
        <w:tab/>
        <w:t>Where the nature of the disclosure is not included in the above list, advice may be sought on the use of the appropriate po</w:t>
      </w:r>
      <w:r>
        <w:rPr>
          <w:rFonts w:ascii="Gill Sans" w:eastAsia="Gill Sans" w:hAnsi="Gill Sans" w:cs="Gill Sans"/>
          <w:color w:val="000000"/>
          <w:sz w:val="18"/>
          <w:szCs w:val="18"/>
        </w:rPr>
        <w:t>licy (i.e. the whistle blowing or grievance policy) from the Human Resources Department or from a trade union or professional association. In general, it should be made by way of Ormiston Academies Trust’s grievance policy and not under this whistle blowin</w:t>
      </w:r>
      <w:r>
        <w:rPr>
          <w:rFonts w:ascii="Gill Sans" w:eastAsia="Gill Sans" w:hAnsi="Gill Sans" w:cs="Gill Sans"/>
          <w:color w:val="000000"/>
          <w:sz w:val="18"/>
          <w:szCs w:val="18"/>
        </w:rPr>
        <w:t>g policy.</w:t>
      </w:r>
    </w:p>
    <w:p w:rsidR="00843CA0" w:rsidRDefault="009A31C0">
      <w:pPr>
        <w:rPr>
          <w:rFonts w:ascii="Arial" w:eastAsia="Arial" w:hAnsi="Arial" w:cs="Arial"/>
        </w:rPr>
      </w:pPr>
      <w:r>
        <w:lastRenderedPageBreak/>
        <w:br w:type="page"/>
      </w:r>
    </w:p>
    <w:p w:rsidR="00843CA0" w:rsidRDefault="009A31C0">
      <w:p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lastRenderedPageBreak/>
        <w:t>3.</w:t>
      </w:r>
      <w:r>
        <w:rPr>
          <w:rFonts w:ascii="Gill Sans" w:eastAsia="Gill Sans" w:hAnsi="Gill Sans" w:cs="Gill Sans"/>
          <w:color w:val="0092D2"/>
          <w:sz w:val="40"/>
          <w:szCs w:val="40"/>
        </w:rPr>
        <w:tab/>
        <w:t>How to Raise a Concern</w:t>
      </w:r>
    </w:p>
    <w:p w:rsidR="00843CA0" w:rsidRDefault="009A31C0">
      <w:pPr>
        <w:pBdr>
          <w:top w:val="nil"/>
          <w:left w:val="nil"/>
          <w:bottom w:val="nil"/>
          <w:right w:val="nil"/>
          <w:between w:val="nil"/>
        </w:pBdr>
        <w:spacing w:after="120" w:line="276" w:lineRule="auto"/>
        <w:ind w:left="280" w:hanging="280"/>
        <w:rPr>
          <w:rFonts w:ascii="Gill Sans" w:eastAsia="Gill Sans" w:hAnsi="Gill Sans" w:cs="Gill Sans"/>
          <w:color w:val="000000"/>
          <w:sz w:val="18"/>
          <w:szCs w:val="18"/>
        </w:rPr>
      </w:pPr>
      <w:r>
        <w:rPr>
          <w:rFonts w:ascii="Gill Sans" w:eastAsia="Gill Sans" w:hAnsi="Gill Sans" w:cs="Gill Sans"/>
          <w:color w:val="000000"/>
          <w:sz w:val="18"/>
          <w:szCs w:val="18"/>
        </w:rPr>
        <w:t>3.1</w:t>
      </w:r>
      <w:r>
        <w:rPr>
          <w:rFonts w:ascii="Gill Sans" w:eastAsia="Gill Sans" w:hAnsi="Gill Sans" w:cs="Gill Sans"/>
          <w:color w:val="000000"/>
          <w:sz w:val="18"/>
          <w:szCs w:val="18"/>
        </w:rPr>
        <w:tab/>
      </w:r>
      <w:r>
        <w:rPr>
          <w:rFonts w:ascii="Gill Sans" w:eastAsia="Gill Sans" w:hAnsi="Gill Sans" w:cs="Gill Sans"/>
          <w:color w:val="000000"/>
          <w:sz w:val="18"/>
          <w:szCs w:val="18"/>
        </w:rPr>
        <w:t xml:space="preserve"> As a first step, an employee should normally raise concerns with their immediate manager or their manager's superior.  This depends, however, on the seriousness and sensitivity of the issues and who is involved.  For example, if an employee believes that </w:t>
      </w:r>
      <w:r>
        <w:rPr>
          <w:rFonts w:ascii="Gill Sans" w:eastAsia="Gill Sans" w:hAnsi="Gill Sans" w:cs="Gill Sans"/>
          <w:color w:val="000000"/>
          <w:sz w:val="18"/>
          <w:szCs w:val="18"/>
        </w:rPr>
        <w:t>their immediate manager or their manager's superior is involved, s/he should approach the Principal or Chair of Governors.  An employee (including the Principal and members of the leadership team) can by-pass the direct management line and the Governing Bo</w:t>
      </w:r>
      <w:r>
        <w:rPr>
          <w:rFonts w:ascii="Gill Sans" w:eastAsia="Gill Sans" w:hAnsi="Gill Sans" w:cs="Gill Sans"/>
          <w:color w:val="000000"/>
          <w:sz w:val="18"/>
          <w:szCs w:val="18"/>
        </w:rPr>
        <w:t>dy if s/he feels the overall management and Governing Body of a school is engaged in an improper course of action then this may be referred to Nick Hudson, Interim Chief Executive of Ormiston Academies Trust (</w:t>
      </w:r>
      <w:hyperlink r:id="rId8">
        <w:r>
          <w:rPr>
            <w:rFonts w:ascii="Gill Sans" w:eastAsia="Gill Sans" w:hAnsi="Gill Sans" w:cs="Gill Sans"/>
            <w:color w:val="0000FF"/>
            <w:sz w:val="18"/>
            <w:szCs w:val="18"/>
            <w:u w:val="single"/>
          </w:rPr>
          <w:t>nick.hudson@ormistonacademies.co.uk</w:t>
        </w:r>
      </w:hyperlink>
      <w:r>
        <w:rPr>
          <w:rFonts w:ascii="Gill Sans" w:eastAsia="Gill Sans" w:hAnsi="Gill Sans" w:cs="Gill Sans"/>
          <w:color w:val="000000"/>
          <w:sz w:val="18"/>
          <w:szCs w:val="18"/>
        </w:rPr>
        <w:t>). If the matter is regarding the Chief Executive, in this case please refer to section 9 below.</w:t>
      </w:r>
    </w:p>
    <w:p w:rsidR="00843CA0" w:rsidRDefault="00843CA0">
      <w:pPr>
        <w:pBdr>
          <w:top w:val="nil"/>
          <w:left w:val="nil"/>
          <w:bottom w:val="nil"/>
          <w:right w:val="nil"/>
          <w:between w:val="nil"/>
        </w:pBdr>
        <w:tabs>
          <w:tab w:val="left" w:pos="284"/>
        </w:tabs>
        <w:spacing w:after="240"/>
        <w:rPr>
          <w:rFonts w:ascii="Gill Sans" w:eastAsia="Gill Sans" w:hAnsi="Gill Sans" w:cs="Gill Sans"/>
          <w:color w:val="000000"/>
          <w:sz w:val="18"/>
          <w:szCs w:val="18"/>
        </w:rPr>
      </w:pPr>
    </w:p>
    <w:p w:rsidR="00843CA0" w:rsidRDefault="009A31C0">
      <w:pPr>
        <w:pBdr>
          <w:top w:val="nil"/>
          <w:left w:val="nil"/>
          <w:bottom w:val="nil"/>
          <w:right w:val="nil"/>
          <w:between w:val="nil"/>
        </w:pBdr>
        <w:tabs>
          <w:tab w:val="left" w:pos="284"/>
        </w:tabs>
        <w:spacing w:after="240"/>
        <w:ind w:left="280" w:hanging="280"/>
        <w:rPr>
          <w:rFonts w:ascii="Gill Sans" w:eastAsia="Gill Sans" w:hAnsi="Gill Sans" w:cs="Gill Sans"/>
          <w:color w:val="000000"/>
          <w:sz w:val="18"/>
          <w:szCs w:val="18"/>
        </w:rPr>
      </w:pPr>
      <w:r>
        <w:rPr>
          <w:rFonts w:ascii="Gill Sans" w:eastAsia="Gill Sans" w:hAnsi="Gill Sans" w:cs="Gill Sans"/>
          <w:color w:val="000000"/>
          <w:sz w:val="18"/>
          <w:szCs w:val="18"/>
        </w:rPr>
        <w:t>3.2</w:t>
      </w:r>
      <w:r>
        <w:rPr>
          <w:rFonts w:ascii="Gill Sans" w:eastAsia="Gill Sans" w:hAnsi="Gill Sans" w:cs="Gill Sans"/>
          <w:color w:val="000000"/>
          <w:sz w:val="18"/>
          <w:szCs w:val="18"/>
        </w:rPr>
        <w:tab/>
        <w:t>Concerns are better raised in writing.  The employee should set out the background and history of the co</w:t>
      </w:r>
      <w:r>
        <w:rPr>
          <w:rFonts w:ascii="Gill Sans" w:eastAsia="Gill Sans" w:hAnsi="Gill Sans" w:cs="Gill Sans"/>
          <w:color w:val="000000"/>
          <w:sz w:val="18"/>
          <w:szCs w:val="18"/>
        </w:rPr>
        <w:t>ncerns, giving names, dates and places where possible, and the reasons why s/he is particularly concerned about the situation.  If an employee does not feel able to put the concern in writing, s/he should telephone or meet the appropriate person.  It is im</w:t>
      </w:r>
      <w:r>
        <w:rPr>
          <w:rFonts w:ascii="Gill Sans" w:eastAsia="Gill Sans" w:hAnsi="Gill Sans" w:cs="Gill Sans"/>
          <w:color w:val="000000"/>
          <w:sz w:val="18"/>
          <w:szCs w:val="18"/>
        </w:rPr>
        <w:t>portant that, however the concern is raised, the employee makes it clear that s/he is raising the issue via the whistle-blowing procedure.</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 xml:space="preserve"> </w:t>
      </w:r>
    </w:p>
    <w:p w:rsidR="00843CA0" w:rsidRDefault="009A31C0">
      <w:pPr>
        <w:pBdr>
          <w:top w:val="nil"/>
          <w:left w:val="nil"/>
          <w:bottom w:val="nil"/>
          <w:right w:val="nil"/>
          <w:between w:val="nil"/>
        </w:pBdr>
        <w:tabs>
          <w:tab w:val="left" w:pos="284"/>
        </w:tabs>
        <w:spacing w:after="240"/>
        <w:rPr>
          <w:rFonts w:ascii="Gill Sans" w:eastAsia="Gill Sans" w:hAnsi="Gill Sans" w:cs="Gill Sans"/>
          <w:color w:val="000000"/>
          <w:sz w:val="18"/>
          <w:szCs w:val="18"/>
        </w:rPr>
      </w:pPr>
      <w:r>
        <w:rPr>
          <w:rFonts w:ascii="Gill Sans" w:eastAsia="Gill Sans" w:hAnsi="Gill Sans" w:cs="Gill Sans"/>
          <w:color w:val="000000"/>
          <w:sz w:val="18"/>
          <w:szCs w:val="18"/>
        </w:rPr>
        <w:t>3.3</w:t>
      </w:r>
      <w:r>
        <w:rPr>
          <w:rFonts w:ascii="Gill Sans" w:eastAsia="Gill Sans" w:hAnsi="Gill Sans" w:cs="Gill Sans"/>
          <w:color w:val="000000"/>
          <w:sz w:val="18"/>
          <w:szCs w:val="18"/>
        </w:rPr>
        <w:tab/>
        <w:t>The earlier and the more detailed the concern, the easier it will be to take action.</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3.4</w:t>
      </w:r>
      <w:r>
        <w:rPr>
          <w:rFonts w:ascii="Gill Sans" w:eastAsia="Gill Sans" w:hAnsi="Gill Sans" w:cs="Gill Sans"/>
          <w:color w:val="000000"/>
          <w:sz w:val="18"/>
          <w:szCs w:val="18"/>
        </w:rPr>
        <w:tab/>
      </w:r>
      <w:r>
        <w:rPr>
          <w:rFonts w:ascii="Gill Sans" w:eastAsia="Gill Sans" w:hAnsi="Gill Sans" w:cs="Gill Sans"/>
          <w:color w:val="000000"/>
          <w:sz w:val="18"/>
          <w:szCs w:val="18"/>
        </w:rPr>
        <w:t>At this stage the employee is not expected to prove the allegation but s/he will need to demonstrate to the person contacted that there are sufficient grounds for concern.</w:t>
      </w:r>
    </w:p>
    <w:p w:rsidR="00843CA0" w:rsidRDefault="009A31C0">
      <w:pPr>
        <w:pBdr>
          <w:top w:val="nil"/>
          <w:left w:val="nil"/>
          <w:bottom w:val="nil"/>
          <w:right w:val="nil"/>
          <w:between w:val="nil"/>
        </w:pBdr>
        <w:spacing w:before="480" w:after="120" w:line="400" w:lineRule="auto"/>
        <w:rPr>
          <w:rFonts w:ascii="Gill Sans" w:eastAsia="Gill Sans" w:hAnsi="Gill Sans" w:cs="Gill Sans"/>
          <w:b/>
          <w:color w:val="0092D2"/>
          <w:sz w:val="40"/>
          <w:szCs w:val="40"/>
        </w:rPr>
      </w:pPr>
      <w:r>
        <w:rPr>
          <w:rFonts w:ascii="Gill Sans" w:eastAsia="Gill Sans" w:hAnsi="Gill Sans" w:cs="Gill Sans"/>
          <w:color w:val="0092D2"/>
          <w:sz w:val="40"/>
          <w:szCs w:val="40"/>
        </w:rPr>
        <w:t>4.</w:t>
      </w:r>
      <w:r>
        <w:rPr>
          <w:rFonts w:ascii="Gill Sans" w:eastAsia="Gill Sans" w:hAnsi="Gill Sans" w:cs="Gill Sans"/>
          <w:color w:val="0092D2"/>
          <w:sz w:val="40"/>
          <w:szCs w:val="40"/>
        </w:rPr>
        <w:tab/>
        <w:t>How Ormiston Academies Trust Will Respond</w:t>
      </w:r>
    </w:p>
    <w:p w:rsidR="00843CA0" w:rsidRDefault="00843CA0">
      <w:pPr>
        <w:rPr>
          <w:rFonts w:ascii="Arial" w:eastAsia="Arial" w:hAnsi="Arial" w:cs="Arial"/>
          <w:b/>
        </w:rPr>
      </w:pPr>
    </w:p>
    <w:p w:rsidR="00843CA0" w:rsidRDefault="009A31C0">
      <w:pPr>
        <w:pBdr>
          <w:top w:val="nil"/>
          <w:left w:val="nil"/>
          <w:bottom w:val="nil"/>
          <w:right w:val="nil"/>
          <w:between w:val="nil"/>
        </w:pBdr>
        <w:tabs>
          <w:tab w:val="left" w:pos="284"/>
        </w:tabs>
        <w:spacing w:after="240"/>
        <w:rPr>
          <w:rFonts w:ascii="Gill Sans" w:eastAsia="Gill Sans" w:hAnsi="Gill Sans" w:cs="Gill Sans"/>
          <w:color w:val="000000"/>
          <w:sz w:val="18"/>
          <w:szCs w:val="18"/>
        </w:rPr>
      </w:pPr>
      <w:r>
        <w:rPr>
          <w:rFonts w:ascii="Gill Sans" w:eastAsia="Gill Sans" w:hAnsi="Gill Sans" w:cs="Gill Sans"/>
          <w:color w:val="000000"/>
          <w:sz w:val="18"/>
          <w:szCs w:val="18"/>
        </w:rPr>
        <w:t>4.1</w:t>
      </w:r>
      <w:r>
        <w:rPr>
          <w:rFonts w:ascii="Gill Sans" w:eastAsia="Gill Sans" w:hAnsi="Gill Sans" w:cs="Gill Sans"/>
          <w:color w:val="000000"/>
          <w:sz w:val="18"/>
          <w:szCs w:val="18"/>
        </w:rPr>
        <w:tab/>
        <w:t>The action taken by OAT will depen</w:t>
      </w:r>
      <w:r>
        <w:rPr>
          <w:rFonts w:ascii="Gill Sans" w:eastAsia="Gill Sans" w:hAnsi="Gill Sans" w:cs="Gill Sans"/>
          <w:color w:val="000000"/>
          <w:sz w:val="18"/>
          <w:szCs w:val="18"/>
        </w:rPr>
        <w:t>d on the nature of the concern. The matters raised may:</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be investigated by the Principal/CEO or an independent third party as appropriate, either in conjunction with other OAT employees or alone</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be investigated internally by an appropriately skilled and experienced individual, knowledgeable in the area concerned</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be referred to an External Auditor or Ombudsman</w:t>
      </w:r>
    </w:p>
    <w:p w:rsidR="00843CA0" w:rsidRDefault="009A31C0">
      <w:pPr>
        <w:numPr>
          <w:ilvl w:val="0"/>
          <w:numId w:val="2"/>
        </w:numPr>
        <w:pBdr>
          <w:top w:val="nil"/>
          <w:left w:val="nil"/>
          <w:bottom w:val="nil"/>
          <w:right w:val="nil"/>
          <w:between w:val="nil"/>
        </w:pBdr>
        <w:tabs>
          <w:tab w:val="left" w:pos="284"/>
        </w:tabs>
        <w:spacing w:after="240"/>
      </w:pPr>
      <w:r>
        <w:rPr>
          <w:rFonts w:ascii="Gill Sans" w:eastAsia="Gill Sans" w:hAnsi="Gill Sans" w:cs="Gill Sans"/>
          <w:color w:val="000000"/>
          <w:sz w:val="18"/>
          <w:szCs w:val="18"/>
        </w:rPr>
        <w:t>form the subject of an independent enquiry</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4.2</w:t>
      </w:r>
      <w:r>
        <w:rPr>
          <w:rFonts w:ascii="Gill Sans" w:eastAsia="Gill Sans" w:hAnsi="Gill Sans" w:cs="Gill Sans"/>
          <w:color w:val="000000"/>
          <w:sz w:val="18"/>
          <w:szCs w:val="18"/>
        </w:rPr>
        <w:tab/>
      </w:r>
      <w:r>
        <w:rPr>
          <w:rFonts w:ascii="Gill Sans" w:eastAsia="Gill Sans" w:hAnsi="Gill Sans" w:cs="Gill Sans"/>
          <w:color w:val="000000"/>
          <w:sz w:val="18"/>
          <w:szCs w:val="18"/>
        </w:rPr>
        <w:t>In order to protect individuals, the Academy and OAT’s initial enquiries will be made to decide whether an investigation is appropriate and, if so, what form it should take. Concerns or allegations that fall within the scope of specific procedures (for exa</w:t>
      </w:r>
      <w:r>
        <w:rPr>
          <w:rFonts w:ascii="Gill Sans" w:eastAsia="Gill Sans" w:hAnsi="Gill Sans" w:cs="Gill Sans"/>
          <w:color w:val="000000"/>
          <w:sz w:val="18"/>
          <w:szCs w:val="18"/>
        </w:rPr>
        <w:t>mple, child protection or discrimination) will normally be referred for consideration under those procedures.</w:t>
      </w:r>
    </w:p>
    <w:p w:rsidR="00843CA0" w:rsidRDefault="009A31C0">
      <w:pPr>
        <w:pBdr>
          <w:top w:val="nil"/>
          <w:left w:val="nil"/>
          <w:bottom w:val="nil"/>
          <w:right w:val="nil"/>
          <w:between w:val="nil"/>
        </w:pBdr>
        <w:tabs>
          <w:tab w:val="left" w:pos="284"/>
        </w:tabs>
        <w:spacing w:after="240"/>
        <w:rPr>
          <w:rFonts w:ascii="Gill Sans" w:eastAsia="Gill Sans" w:hAnsi="Gill Sans" w:cs="Gill Sans"/>
          <w:color w:val="000000"/>
          <w:sz w:val="18"/>
          <w:szCs w:val="18"/>
        </w:rPr>
      </w:pPr>
      <w:r>
        <w:rPr>
          <w:rFonts w:ascii="Gill Sans" w:eastAsia="Gill Sans" w:hAnsi="Gill Sans" w:cs="Gill Sans"/>
          <w:color w:val="000000"/>
          <w:sz w:val="18"/>
          <w:szCs w:val="18"/>
        </w:rPr>
        <w:t>4.3</w:t>
      </w:r>
      <w:r>
        <w:rPr>
          <w:rFonts w:ascii="Gill Sans" w:eastAsia="Gill Sans" w:hAnsi="Gill Sans" w:cs="Gill Sans"/>
          <w:color w:val="000000"/>
          <w:sz w:val="18"/>
          <w:szCs w:val="18"/>
        </w:rPr>
        <w:tab/>
        <w:t>Some concerns may be resolved by agreed action without the need for investigation.</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4.4</w:t>
      </w:r>
      <w:r>
        <w:rPr>
          <w:rFonts w:ascii="Gill Sans" w:eastAsia="Gill Sans" w:hAnsi="Gill Sans" w:cs="Gill Sans"/>
          <w:color w:val="000000"/>
          <w:sz w:val="18"/>
          <w:szCs w:val="18"/>
        </w:rPr>
        <w:tab/>
      </w:r>
      <w:r>
        <w:rPr>
          <w:rFonts w:ascii="Gill Sans" w:eastAsia="Gill Sans" w:hAnsi="Gill Sans" w:cs="Gill Sans"/>
          <w:color w:val="000000"/>
          <w:sz w:val="18"/>
          <w:szCs w:val="18"/>
        </w:rPr>
        <w:t>Within ten working days of a concern being received (excluding anonymous concerns) the individual with whom the employee raised the matter will write to the employee:</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acknowledging the concern has been received</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indicating how it is proposed to deal with th</w:t>
      </w:r>
      <w:r>
        <w:rPr>
          <w:rFonts w:ascii="Gill Sans" w:eastAsia="Gill Sans" w:hAnsi="Gill Sans" w:cs="Gill Sans"/>
          <w:color w:val="000000"/>
          <w:sz w:val="18"/>
          <w:szCs w:val="18"/>
        </w:rPr>
        <w:t>e matter</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giving an estimate of how long it will take to provide a final response</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lastRenderedPageBreak/>
        <w:t>telling the employee whether any initial enquiries have been made, and</w:t>
      </w:r>
    </w:p>
    <w:p w:rsidR="00843CA0" w:rsidRDefault="009A31C0">
      <w:pPr>
        <w:numPr>
          <w:ilvl w:val="0"/>
          <w:numId w:val="2"/>
        </w:numPr>
        <w:pBdr>
          <w:top w:val="nil"/>
          <w:left w:val="nil"/>
          <w:bottom w:val="nil"/>
          <w:right w:val="nil"/>
          <w:between w:val="nil"/>
        </w:pBdr>
        <w:tabs>
          <w:tab w:val="left" w:pos="284"/>
        </w:tabs>
        <w:spacing w:after="240"/>
      </w:pPr>
      <w:r>
        <w:rPr>
          <w:rFonts w:ascii="Gill Sans" w:eastAsia="Gill Sans" w:hAnsi="Gill Sans" w:cs="Gill Sans"/>
          <w:color w:val="000000"/>
          <w:sz w:val="18"/>
          <w:szCs w:val="18"/>
        </w:rPr>
        <w:t>telling the employee whether further investigations will take place, and if not, the reason why</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4.5</w:t>
      </w:r>
      <w:r>
        <w:rPr>
          <w:rFonts w:ascii="Gill Sans" w:eastAsia="Gill Sans" w:hAnsi="Gill Sans" w:cs="Gill Sans"/>
          <w:color w:val="000000"/>
          <w:sz w:val="18"/>
          <w:szCs w:val="18"/>
        </w:rPr>
        <w:tab/>
      </w:r>
      <w:r>
        <w:rPr>
          <w:rFonts w:ascii="Gill Sans" w:eastAsia="Gill Sans" w:hAnsi="Gill Sans" w:cs="Gill Sans"/>
          <w:color w:val="000000"/>
          <w:sz w:val="18"/>
          <w:szCs w:val="18"/>
        </w:rPr>
        <w:t>The amount of contact between the individual(s) considering the issues and the employee who made the protected disclosure will depend on the nature of the matters raised, the potential difficulties involved and the clarity of the information provided. If n</w:t>
      </w:r>
      <w:r>
        <w:rPr>
          <w:rFonts w:ascii="Gill Sans" w:eastAsia="Gill Sans" w:hAnsi="Gill Sans" w:cs="Gill Sans"/>
          <w:color w:val="000000"/>
          <w:sz w:val="18"/>
          <w:szCs w:val="18"/>
        </w:rPr>
        <w:t>ecessary, further information will be sought from the employee in a discreet manner.</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4.6</w:t>
      </w:r>
      <w:r>
        <w:rPr>
          <w:rFonts w:ascii="Gill Sans" w:eastAsia="Gill Sans" w:hAnsi="Gill Sans" w:cs="Gill Sans"/>
          <w:color w:val="000000"/>
          <w:sz w:val="18"/>
          <w:szCs w:val="18"/>
        </w:rPr>
        <w:tab/>
        <w:t>When any meeting is arranged, the staff member has the right to be accompanied by a union or workplace representative. The meeting can be ‘off site’, if requested.</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Arial" w:eastAsia="Arial" w:hAnsi="Arial" w:cs="Arial"/>
          <w:color w:val="000000"/>
          <w:sz w:val="18"/>
          <w:szCs w:val="18"/>
        </w:rPr>
        <w:t>4.7</w:t>
      </w:r>
      <w:r>
        <w:rPr>
          <w:rFonts w:ascii="Arial" w:eastAsia="Arial" w:hAnsi="Arial" w:cs="Arial"/>
          <w:color w:val="000000"/>
          <w:sz w:val="18"/>
          <w:szCs w:val="18"/>
        </w:rPr>
        <w:tab/>
      </w:r>
      <w:r>
        <w:rPr>
          <w:rFonts w:ascii="Gill Sans" w:eastAsia="Gill Sans" w:hAnsi="Gill Sans" w:cs="Gill Sans"/>
          <w:color w:val="000000"/>
          <w:sz w:val="18"/>
          <w:szCs w:val="18"/>
        </w:rPr>
        <w:t>The academy/OAT will take steps to minimise any difficulties which the staff member may experience as a result of raising a concern and provide any appropriate support. For instance, if the employee is required to give evidence in disciplinary or criminal</w:t>
      </w:r>
      <w:r>
        <w:rPr>
          <w:rFonts w:ascii="Gill Sans" w:eastAsia="Gill Sans" w:hAnsi="Gill Sans" w:cs="Gill Sans"/>
          <w:color w:val="000000"/>
          <w:sz w:val="18"/>
          <w:szCs w:val="18"/>
        </w:rPr>
        <w:t xml:space="preserve"> proceedings. OAT will advise the worker about the procedure.</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4.8</w:t>
      </w:r>
      <w:r>
        <w:rPr>
          <w:rFonts w:ascii="Gill Sans" w:eastAsia="Gill Sans" w:hAnsi="Gill Sans" w:cs="Gill Sans"/>
          <w:color w:val="000000"/>
          <w:sz w:val="18"/>
          <w:szCs w:val="18"/>
        </w:rPr>
        <w:tab/>
        <w:t>The academy/OAT accepts that the employee needs to be assured that the matter has been properly addressed. Thus, subject to legal constraints, s/he will receive information about the outcome</w:t>
      </w:r>
      <w:r>
        <w:rPr>
          <w:rFonts w:ascii="Gill Sans" w:eastAsia="Gill Sans" w:hAnsi="Gill Sans" w:cs="Gill Sans"/>
          <w:color w:val="000000"/>
          <w:sz w:val="18"/>
          <w:szCs w:val="18"/>
        </w:rPr>
        <w:t>s of investigations. In addition, s/he will be informed as to what action has been taken to correct working practices where they have been found to be at fault by the investigation.</w:t>
      </w:r>
    </w:p>
    <w:p w:rsidR="00843CA0" w:rsidRDefault="009A31C0">
      <w:pPr>
        <w:pBdr>
          <w:top w:val="nil"/>
          <w:left w:val="nil"/>
          <w:bottom w:val="nil"/>
          <w:right w:val="nil"/>
          <w:between w:val="nil"/>
        </w:pBdr>
        <w:spacing w:before="480" w:after="120" w:line="400" w:lineRule="auto"/>
        <w:rPr>
          <w:rFonts w:ascii="Gill Sans" w:eastAsia="Gill Sans" w:hAnsi="Gill Sans" w:cs="Gill Sans"/>
          <w:b/>
          <w:color w:val="0092D2"/>
          <w:sz w:val="40"/>
          <w:szCs w:val="40"/>
        </w:rPr>
      </w:pPr>
      <w:r>
        <w:rPr>
          <w:rFonts w:ascii="Gill Sans" w:eastAsia="Gill Sans" w:hAnsi="Gill Sans" w:cs="Gill Sans"/>
          <w:color w:val="0092D2"/>
          <w:sz w:val="40"/>
          <w:szCs w:val="40"/>
        </w:rPr>
        <w:t>5.</w:t>
      </w:r>
      <w:r>
        <w:rPr>
          <w:rFonts w:ascii="Gill Sans" w:eastAsia="Gill Sans" w:hAnsi="Gill Sans" w:cs="Gill Sans"/>
          <w:color w:val="0092D2"/>
          <w:sz w:val="40"/>
          <w:szCs w:val="40"/>
        </w:rPr>
        <w:tab/>
        <w:t>Safeguards - Harassment or Victimisation</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5.1</w:t>
      </w:r>
      <w:r>
        <w:rPr>
          <w:rFonts w:ascii="Gill Sans" w:eastAsia="Gill Sans" w:hAnsi="Gill Sans" w:cs="Gill Sans"/>
          <w:color w:val="000000"/>
          <w:sz w:val="18"/>
          <w:szCs w:val="18"/>
        </w:rPr>
        <w:tab/>
        <w:t>The academy/OAT recognises</w:t>
      </w:r>
      <w:r>
        <w:rPr>
          <w:rFonts w:ascii="Gill Sans" w:eastAsia="Gill Sans" w:hAnsi="Gill Sans" w:cs="Gill Sans"/>
          <w:color w:val="000000"/>
          <w:sz w:val="18"/>
          <w:szCs w:val="18"/>
        </w:rPr>
        <w:t xml:space="preserve"> that the decision to report a concern can be a difficult one to make, not least because of the fear of reprisal from those responsible for the malpractice. OAT will not tolerate harassment or victimisation and will take action to protect the staff member </w:t>
      </w:r>
      <w:r>
        <w:rPr>
          <w:rFonts w:ascii="Gill Sans" w:eastAsia="Gill Sans" w:hAnsi="Gill Sans" w:cs="Gill Sans"/>
          <w:color w:val="000000"/>
          <w:sz w:val="18"/>
          <w:szCs w:val="18"/>
        </w:rPr>
        <w:t>when s/he has raised a concern. The Public Interest Disclosure Act 1998 protects whistleblowers from detrimental treatment by their employer.</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5.2</w:t>
      </w:r>
      <w:r>
        <w:rPr>
          <w:rFonts w:ascii="Gill Sans" w:eastAsia="Gill Sans" w:hAnsi="Gill Sans" w:cs="Gill Sans"/>
          <w:color w:val="000000"/>
          <w:sz w:val="18"/>
          <w:szCs w:val="18"/>
        </w:rPr>
        <w:tab/>
        <w:t>This does not mean that if the whistleblower is already the subject of an unrelated disciplinary or redundancy</w:t>
      </w:r>
      <w:r>
        <w:rPr>
          <w:rFonts w:ascii="Gill Sans" w:eastAsia="Gill Sans" w:hAnsi="Gill Sans" w:cs="Gill Sans"/>
          <w:color w:val="000000"/>
          <w:sz w:val="18"/>
          <w:szCs w:val="18"/>
        </w:rPr>
        <w:t xml:space="preserve"> procedures, those procedures will be halted as a result of confidential reporting.</w:t>
      </w:r>
    </w:p>
    <w:p w:rsidR="00843CA0" w:rsidRDefault="009A31C0">
      <w:pPr>
        <w:pBdr>
          <w:top w:val="nil"/>
          <w:left w:val="nil"/>
          <w:bottom w:val="nil"/>
          <w:right w:val="nil"/>
          <w:between w:val="nil"/>
        </w:pBdr>
        <w:spacing w:before="480" w:after="120" w:line="400" w:lineRule="auto"/>
        <w:rPr>
          <w:rFonts w:ascii="Gill Sans" w:eastAsia="Gill Sans" w:hAnsi="Gill Sans" w:cs="Gill Sans"/>
          <w:b/>
          <w:color w:val="0092D2"/>
          <w:sz w:val="40"/>
          <w:szCs w:val="40"/>
        </w:rPr>
      </w:pPr>
      <w:r>
        <w:rPr>
          <w:rFonts w:ascii="Gill Sans" w:eastAsia="Gill Sans" w:hAnsi="Gill Sans" w:cs="Gill Sans"/>
          <w:color w:val="0092D2"/>
          <w:sz w:val="40"/>
          <w:szCs w:val="40"/>
        </w:rPr>
        <w:t>6.</w:t>
      </w:r>
      <w:r>
        <w:rPr>
          <w:rFonts w:ascii="Gill Sans" w:eastAsia="Gill Sans" w:hAnsi="Gill Sans" w:cs="Gill Sans"/>
          <w:color w:val="0092D2"/>
          <w:sz w:val="40"/>
          <w:szCs w:val="40"/>
        </w:rPr>
        <w:tab/>
        <w:t>Confidentiality</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6.1</w:t>
      </w:r>
      <w:r>
        <w:rPr>
          <w:rFonts w:ascii="Gill Sans" w:eastAsia="Gill Sans" w:hAnsi="Gill Sans" w:cs="Gill Sans"/>
          <w:color w:val="000000"/>
          <w:sz w:val="18"/>
          <w:szCs w:val="18"/>
        </w:rPr>
        <w:tab/>
        <w:t>The academy/OAT will respect confidentiality and all steps will be taken to ensure that confidentiality is maintained throughout the process. However</w:t>
      </w:r>
      <w:r>
        <w:rPr>
          <w:rFonts w:ascii="Gill Sans" w:eastAsia="Gill Sans" w:hAnsi="Gill Sans" w:cs="Gill Sans"/>
          <w:color w:val="000000"/>
          <w:sz w:val="18"/>
          <w:szCs w:val="18"/>
        </w:rPr>
        <w:t>, it must be appreciated that the investigation process may reveal the source of the information and that a statement by the employee may be required as part of the evidence.</w:t>
      </w:r>
    </w:p>
    <w:p w:rsidR="00843CA0" w:rsidRDefault="009A31C0">
      <w:pPr>
        <w:pBdr>
          <w:top w:val="nil"/>
          <w:left w:val="nil"/>
          <w:bottom w:val="nil"/>
          <w:right w:val="nil"/>
          <w:between w:val="nil"/>
        </w:pBdr>
        <w:spacing w:before="480" w:after="120" w:line="400" w:lineRule="auto"/>
        <w:rPr>
          <w:rFonts w:ascii="Gill Sans" w:eastAsia="Gill Sans" w:hAnsi="Gill Sans" w:cs="Gill Sans"/>
          <w:b/>
          <w:color w:val="0092D2"/>
          <w:sz w:val="40"/>
          <w:szCs w:val="40"/>
        </w:rPr>
      </w:pPr>
      <w:r>
        <w:rPr>
          <w:rFonts w:ascii="Gill Sans" w:eastAsia="Gill Sans" w:hAnsi="Gill Sans" w:cs="Gill Sans"/>
          <w:color w:val="0092D2"/>
          <w:sz w:val="40"/>
          <w:szCs w:val="40"/>
        </w:rPr>
        <w:t>7.</w:t>
      </w:r>
      <w:r>
        <w:rPr>
          <w:rFonts w:ascii="Gill Sans" w:eastAsia="Gill Sans" w:hAnsi="Gill Sans" w:cs="Gill Sans"/>
          <w:color w:val="0092D2"/>
          <w:sz w:val="40"/>
          <w:szCs w:val="40"/>
        </w:rPr>
        <w:tab/>
        <w:t>Anonymous Allegations</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7.1</w:t>
      </w:r>
      <w:r>
        <w:rPr>
          <w:rFonts w:ascii="Gill Sans" w:eastAsia="Gill Sans" w:hAnsi="Gill Sans" w:cs="Gill Sans"/>
          <w:color w:val="000000"/>
          <w:sz w:val="18"/>
          <w:szCs w:val="18"/>
        </w:rPr>
        <w:tab/>
      </w:r>
      <w:r>
        <w:rPr>
          <w:rFonts w:ascii="Gill Sans" w:eastAsia="Gill Sans" w:hAnsi="Gill Sans" w:cs="Gill Sans"/>
          <w:color w:val="000000"/>
          <w:sz w:val="18"/>
          <w:szCs w:val="18"/>
        </w:rPr>
        <w:t>This policy encourages employees to put their name to their concerns. Concerns expressed anonymously are less capable of being followed up effectively, but they will all be considered.</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7.2</w:t>
      </w:r>
      <w:r>
        <w:rPr>
          <w:rFonts w:ascii="Gill Sans" w:eastAsia="Gill Sans" w:hAnsi="Gill Sans" w:cs="Gill Sans"/>
          <w:color w:val="000000"/>
          <w:sz w:val="18"/>
          <w:szCs w:val="18"/>
        </w:rPr>
        <w:tab/>
      </w:r>
      <w:r>
        <w:rPr>
          <w:rFonts w:ascii="Gill Sans" w:eastAsia="Gill Sans" w:hAnsi="Gill Sans" w:cs="Gill Sans"/>
          <w:color w:val="000000"/>
          <w:sz w:val="18"/>
          <w:szCs w:val="18"/>
        </w:rPr>
        <w:t>In such circumstances the academy/OAT will take the following factors into account when establishing the scope and depth of the investigation:</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the seriousness of the issues raised</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the credibility of the concern, and</w:t>
      </w:r>
    </w:p>
    <w:p w:rsidR="00843CA0" w:rsidRDefault="009A31C0">
      <w:pPr>
        <w:numPr>
          <w:ilvl w:val="0"/>
          <w:numId w:val="2"/>
        </w:numPr>
        <w:pBdr>
          <w:top w:val="nil"/>
          <w:left w:val="nil"/>
          <w:bottom w:val="nil"/>
          <w:right w:val="nil"/>
          <w:between w:val="nil"/>
        </w:pBdr>
        <w:tabs>
          <w:tab w:val="left" w:pos="284"/>
        </w:tabs>
        <w:spacing w:after="240"/>
      </w:pPr>
      <w:r>
        <w:rPr>
          <w:rFonts w:ascii="Gill Sans" w:eastAsia="Gill Sans" w:hAnsi="Gill Sans" w:cs="Gill Sans"/>
          <w:color w:val="000000"/>
          <w:sz w:val="18"/>
          <w:szCs w:val="18"/>
        </w:rPr>
        <w:t>the likelihood of confirming the allegation from attributable sources and information</w:t>
      </w:r>
    </w:p>
    <w:p w:rsidR="00843CA0" w:rsidRDefault="009A31C0">
      <w:pPr>
        <w:pBdr>
          <w:top w:val="nil"/>
          <w:left w:val="nil"/>
          <w:bottom w:val="nil"/>
          <w:right w:val="nil"/>
          <w:between w:val="nil"/>
        </w:pBdr>
        <w:spacing w:before="480" w:after="120" w:line="400" w:lineRule="auto"/>
        <w:rPr>
          <w:rFonts w:ascii="Gill Sans" w:eastAsia="Gill Sans" w:hAnsi="Gill Sans" w:cs="Gill Sans"/>
          <w:b/>
          <w:color w:val="0092D2"/>
          <w:sz w:val="40"/>
          <w:szCs w:val="40"/>
        </w:rPr>
      </w:pPr>
      <w:r>
        <w:rPr>
          <w:rFonts w:ascii="Gill Sans" w:eastAsia="Gill Sans" w:hAnsi="Gill Sans" w:cs="Gill Sans"/>
          <w:color w:val="0092D2"/>
          <w:sz w:val="40"/>
          <w:szCs w:val="40"/>
        </w:rPr>
        <w:t>8.</w:t>
      </w:r>
      <w:r>
        <w:rPr>
          <w:rFonts w:ascii="Gill Sans" w:eastAsia="Gill Sans" w:hAnsi="Gill Sans" w:cs="Gill Sans"/>
          <w:color w:val="0092D2"/>
          <w:sz w:val="40"/>
          <w:szCs w:val="40"/>
        </w:rPr>
        <w:tab/>
        <w:t>Untrue Allegations</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8.1</w:t>
      </w:r>
      <w:r>
        <w:rPr>
          <w:rFonts w:ascii="Gill Sans" w:eastAsia="Gill Sans" w:hAnsi="Gill Sans" w:cs="Gill Sans"/>
          <w:color w:val="000000"/>
          <w:sz w:val="18"/>
          <w:szCs w:val="18"/>
        </w:rPr>
        <w:tab/>
        <w:t>If an employee makes an allegation, but it is not confirmed by the investigation, no action will be taken against that employee.</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Arial" w:eastAsia="Arial" w:hAnsi="Arial" w:cs="Arial"/>
          <w:color w:val="000000"/>
          <w:sz w:val="18"/>
          <w:szCs w:val="18"/>
        </w:rPr>
        <w:t>8.2</w:t>
      </w:r>
      <w:r>
        <w:rPr>
          <w:rFonts w:ascii="Arial" w:eastAsia="Arial" w:hAnsi="Arial" w:cs="Arial"/>
          <w:color w:val="000000"/>
          <w:sz w:val="18"/>
          <w:szCs w:val="18"/>
        </w:rPr>
        <w:tab/>
      </w:r>
      <w:r>
        <w:rPr>
          <w:rFonts w:ascii="Gill Sans" w:eastAsia="Gill Sans" w:hAnsi="Gill Sans" w:cs="Gill Sans"/>
          <w:color w:val="000000"/>
          <w:sz w:val="18"/>
          <w:szCs w:val="18"/>
        </w:rPr>
        <w:t>If, it is s</w:t>
      </w:r>
      <w:r>
        <w:rPr>
          <w:rFonts w:ascii="Gill Sans" w:eastAsia="Gill Sans" w:hAnsi="Gill Sans" w:cs="Gill Sans"/>
          <w:color w:val="000000"/>
          <w:sz w:val="18"/>
          <w:szCs w:val="18"/>
        </w:rPr>
        <w:t>uspected however, that an employee has made malicious or vexatious allegations, consideration will be given to use of the Disciplinary Policy. An investigation may be held with a possible outcome of disciplinary action being against him or her.</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8.3</w:t>
      </w:r>
      <w:r>
        <w:rPr>
          <w:rFonts w:ascii="Gill Sans" w:eastAsia="Gill Sans" w:hAnsi="Gill Sans" w:cs="Gill Sans"/>
          <w:color w:val="000000"/>
          <w:sz w:val="18"/>
          <w:szCs w:val="18"/>
        </w:rPr>
        <w:tab/>
        <w:t>In dete</w:t>
      </w:r>
      <w:r>
        <w:rPr>
          <w:rFonts w:ascii="Gill Sans" w:eastAsia="Gill Sans" w:hAnsi="Gill Sans" w:cs="Gill Sans"/>
          <w:color w:val="000000"/>
          <w:sz w:val="18"/>
          <w:szCs w:val="18"/>
        </w:rPr>
        <w:t>rmining whether an employee has acted maliciously and/or vexatiously the investigator will consider whether the employee was motivated to make the allegation(s) simply out of a desire to pursue a personal vendetta or grudge.</w:t>
      </w:r>
    </w:p>
    <w:p w:rsidR="00843CA0" w:rsidRDefault="009A31C0">
      <w:pPr>
        <w:pBdr>
          <w:top w:val="nil"/>
          <w:left w:val="nil"/>
          <w:bottom w:val="nil"/>
          <w:right w:val="nil"/>
          <w:between w:val="nil"/>
        </w:pBdr>
        <w:spacing w:before="480" w:after="120" w:line="400" w:lineRule="auto"/>
        <w:rPr>
          <w:rFonts w:ascii="Gill Sans" w:eastAsia="Gill Sans" w:hAnsi="Gill Sans" w:cs="Gill Sans"/>
          <w:b/>
          <w:color w:val="0092D2"/>
          <w:sz w:val="40"/>
          <w:szCs w:val="40"/>
        </w:rPr>
      </w:pPr>
      <w:r>
        <w:rPr>
          <w:rFonts w:ascii="Gill Sans" w:eastAsia="Gill Sans" w:hAnsi="Gill Sans" w:cs="Gill Sans"/>
          <w:color w:val="0092D2"/>
          <w:sz w:val="40"/>
          <w:szCs w:val="40"/>
        </w:rPr>
        <w:t>9.</w:t>
      </w:r>
      <w:r>
        <w:rPr>
          <w:rFonts w:ascii="Gill Sans" w:eastAsia="Gill Sans" w:hAnsi="Gill Sans" w:cs="Gill Sans"/>
          <w:color w:val="0092D2"/>
          <w:sz w:val="40"/>
          <w:szCs w:val="40"/>
        </w:rPr>
        <w:tab/>
        <w:t xml:space="preserve">How the Matter Can Be Taken </w:t>
      </w:r>
      <w:r>
        <w:rPr>
          <w:rFonts w:ascii="Gill Sans" w:eastAsia="Gill Sans" w:hAnsi="Gill Sans" w:cs="Gill Sans"/>
          <w:color w:val="0092D2"/>
          <w:sz w:val="40"/>
          <w:szCs w:val="40"/>
        </w:rPr>
        <w:t>Further</w:t>
      </w:r>
    </w:p>
    <w:p w:rsidR="00843CA0" w:rsidRDefault="009A31C0">
      <w:pPr>
        <w:pBdr>
          <w:top w:val="nil"/>
          <w:left w:val="nil"/>
          <w:bottom w:val="nil"/>
          <w:right w:val="nil"/>
          <w:between w:val="nil"/>
        </w:pBdr>
        <w:tabs>
          <w:tab w:val="left" w:pos="284"/>
        </w:tabs>
        <w:spacing w:after="240"/>
        <w:ind w:left="284" w:hanging="284"/>
        <w:rPr>
          <w:rFonts w:ascii="Gill Sans" w:eastAsia="Gill Sans" w:hAnsi="Gill Sans" w:cs="Gill Sans"/>
          <w:color w:val="000000"/>
          <w:sz w:val="18"/>
          <w:szCs w:val="18"/>
        </w:rPr>
      </w:pPr>
      <w:r>
        <w:rPr>
          <w:rFonts w:ascii="Gill Sans" w:eastAsia="Gill Sans" w:hAnsi="Gill Sans" w:cs="Gill Sans"/>
          <w:color w:val="000000"/>
          <w:sz w:val="18"/>
          <w:szCs w:val="18"/>
        </w:rPr>
        <w:t>9.1</w:t>
      </w:r>
      <w:r>
        <w:rPr>
          <w:rFonts w:ascii="Gill Sans" w:eastAsia="Gill Sans" w:hAnsi="Gill Sans" w:cs="Gill Sans"/>
          <w:color w:val="000000"/>
          <w:sz w:val="18"/>
          <w:szCs w:val="18"/>
        </w:rPr>
        <w:tab/>
        <w:t>This policy is intended to provide staff with an avenue to raise concerns within the individual academy or Ormiston Academies Trust. We hope anyone invoking this procedure will be satisfied with the response given. We encourage direct communica</w:t>
      </w:r>
      <w:r>
        <w:rPr>
          <w:rFonts w:ascii="Gill Sans" w:eastAsia="Gill Sans" w:hAnsi="Gill Sans" w:cs="Gill Sans"/>
          <w:color w:val="000000"/>
          <w:sz w:val="18"/>
          <w:szCs w:val="18"/>
        </w:rPr>
        <w:t>tion of any serious issue with the Chief Executive via the Head office in Birmingham prior to disclosure to any external bodies. Where possible, whistle blowing to an external body without first going through OAT internal procedure without compelling reaso</w:t>
      </w:r>
      <w:r>
        <w:rPr>
          <w:rFonts w:ascii="Gill Sans" w:eastAsia="Gill Sans" w:hAnsi="Gill Sans" w:cs="Gill Sans"/>
          <w:color w:val="000000"/>
          <w:sz w:val="18"/>
          <w:szCs w:val="18"/>
        </w:rPr>
        <w:t>ns is not encouraged. If the staff member feels it is right to take the matter outside the organisation, the following are possible contact points:</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The DfE</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Member of Parliament</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National Audit Office</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 xml:space="preserve">Health and Safety Executive </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the relevant ombudsman</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the employee’s solicitor</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the Charities Commission</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the police</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Public Concern at Work: 020 7404 6609 www.pcaw.co.uk</w:t>
      </w:r>
    </w:p>
    <w:p w:rsidR="00843CA0" w:rsidRDefault="009A31C0">
      <w:pPr>
        <w:numPr>
          <w:ilvl w:val="0"/>
          <w:numId w:val="2"/>
        </w:numPr>
        <w:pBdr>
          <w:top w:val="nil"/>
          <w:left w:val="nil"/>
          <w:bottom w:val="nil"/>
          <w:right w:val="nil"/>
          <w:between w:val="nil"/>
        </w:pBdr>
        <w:tabs>
          <w:tab w:val="left" w:pos="284"/>
        </w:tabs>
      </w:pPr>
      <w:r>
        <w:rPr>
          <w:rFonts w:ascii="Gill Sans" w:eastAsia="Gill Sans" w:hAnsi="Gill Sans" w:cs="Gill Sans"/>
          <w:color w:val="000000"/>
          <w:sz w:val="18"/>
          <w:szCs w:val="18"/>
        </w:rPr>
        <w:t>trade union/professional association</w:t>
      </w:r>
    </w:p>
    <w:p w:rsidR="00843CA0" w:rsidRDefault="009A31C0">
      <w:pPr>
        <w:numPr>
          <w:ilvl w:val="0"/>
          <w:numId w:val="2"/>
        </w:numPr>
        <w:pBdr>
          <w:top w:val="nil"/>
          <w:left w:val="nil"/>
          <w:bottom w:val="nil"/>
          <w:right w:val="nil"/>
          <w:between w:val="nil"/>
        </w:pBdr>
        <w:tabs>
          <w:tab w:val="left" w:pos="284"/>
        </w:tabs>
        <w:spacing w:after="240"/>
      </w:pPr>
      <w:r>
        <w:rPr>
          <w:rFonts w:ascii="Gill Sans" w:eastAsia="Gill Sans" w:hAnsi="Gill Sans" w:cs="Gill Sans"/>
          <w:color w:val="000000"/>
          <w:sz w:val="18"/>
          <w:szCs w:val="18"/>
        </w:rPr>
        <w:t>Public Concern at Work ((PCaW) is an independent authority on public interest whistleblowing. PCaW focuses on the responsibility of workers to raise concerns about malpractice and on the accountability of those in charge to investigate and remedy such issu</w:t>
      </w:r>
      <w:r>
        <w:rPr>
          <w:rFonts w:ascii="Gill Sans" w:eastAsia="Gill Sans" w:hAnsi="Gill Sans" w:cs="Gill Sans"/>
          <w:color w:val="000000"/>
          <w:sz w:val="18"/>
          <w:szCs w:val="18"/>
        </w:rPr>
        <w:t>es. It offers free advice to people concerned about danger or malpractice in the workplace but who are unsure whether or how to raise the matter)</w:t>
      </w:r>
    </w:p>
    <w:p w:rsidR="00843CA0" w:rsidRDefault="009A31C0">
      <w:p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t>10.</w:t>
      </w:r>
      <w:r>
        <w:rPr>
          <w:rFonts w:ascii="Gill Sans" w:eastAsia="Gill Sans" w:hAnsi="Gill Sans" w:cs="Gill Sans"/>
          <w:color w:val="0092D2"/>
          <w:sz w:val="40"/>
          <w:szCs w:val="40"/>
        </w:rPr>
        <w:tab/>
        <w:t>Review</w:t>
      </w:r>
    </w:p>
    <w:p w:rsidR="00843CA0" w:rsidRDefault="009A31C0">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18"/>
          <w:szCs w:val="18"/>
        </w:rPr>
        <w:t>This policy will be reviewed every two years with the recognised trade unions.</w:t>
      </w:r>
    </w:p>
    <w:sectPr w:rsidR="00843CA0">
      <w:footerReference w:type="default" r:id="rId9"/>
      <w:pgSz w:w="11900" w:h="16840"/>
      <w:pgMar w:top="1134"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31C0">
      <w:r>
        <w:separator/>
      </w:r>
    </w:p>
  </w:endnote>
  <w:endnote w:type="continuationSeparator" w:id="0">
    <w:p w:rsidR="00000000" w:rsidRDefault="009A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A0" w:rsidRDefault="009A31C0">
    <w:pPr>
      <w:pBdr>
        <w:top w:val="nil"/>
        <w:left w:val="nil"/>
        <w:bottom w:val="nil"/>
        <w:right w:val="nil"/>
        <w:between w:val="nil"/>
      </w:pBdr>
      <w:tabs>
        <w:tab w:val="right" w:pos="8931"/>
      </w:tabs>
      <w:rPr>
        <w:rFonts w:ascii="Gill Sans" w:eastAsia="Gill Sans" w:hAnsi="Gill Sans" w:cs="Gill Sans"/>
        <w:color w:val="000000"/>
        <w:sz w:val="20"/>
        <w:szCs w:val="20"/>
      </w:rPr>
    </w:pPr>
    <w:r>
      <w:rPr>
        <w:rFonts w:ascii="Gill Sans" w:eastAsia="Gill Sans" w:hAnsi="Gill Sans" w:cs="Gill Sans"/>
        <w:color w:val="000000"/>
        <w:sz w:val="20"/>
        <w:szCs w:val="20"/>
      </w:rPr>
      <w:t>Whistleblowing policy</w:t>
    </w:r>
    <w:r>
      <w:rPr>
        <w:rFonts w:ascii="Gill Sans" w:eastAsia="Gill Sans" w:hAnsi="Gill Sans" w:cs="Gill Sans"/>
        <w:color w:val="000000"/>
        <w:sz w:val="20"/>
        <w:szCs w:val="20"/>
      </w:rPr>
      <w:tab/>
    </w:r>
    <w:r>
      <w:rPr>
        <w:rFonts w:ascii="Gill Sans" w:eastAsia="Gill Sans" w:hAnsi="Gill Sans" w:cs="Gill Sans"/>
        <w:color w:val="000000"/>
        <w:sz w:val="20"/>
        <w:szCs w:val="20"/>
      </w:rPr>
      <w:tab/>
      <w:t xml:space="preserve">Page </w:t>
    </w:r>
    <w:r>
      <w:rPr>
        <w:rFonts w:ascii="Gill Sans" w:eastAsia="Gill Sans" w:hAnsi="Gill Sans" w:cs="Gill Sans"/>
        <w:b/>
        <w:color w:val="000000"/>
        <w:sz w:val="20"/>
        <w:szCs w:val="20"/>
      </w:rPr>
      <w:fldChar w:fldCharType="begin"/>
    </w:r>
    <w:r>
      <w:rPr>
        <w:rFonts w:ascii="Gill Sans" w:eastAsia="Gill Sans" w:hAnsi="Gill Sans" w:cs="Gill Sans"/>
        <w:b/>
        <w:color w:val="000000"/>
        <w:sz w:val="20"/>
        <w:szCs w:val="20"/>
      </w:rPr>
      <w:instrText>PAGE</w:instrText>
    </w:r>
    <w:r>
      <w:rPr>
        <w:rFonts w:ascii="Gill Sans" w:eastAsia="Gill Sans" w:hAnsi="Gill Sans" w:cs="Gill Sans"/>
        <w:b/>
        <w:color w:val="000000"/>
        <w:sz w:val="20"/>
        <w:szCs w:val="20"/>
      </w:rPr>
      <w:fldChar w:fldCharType="separate"/>
    </w:r>
    <w:r>
      <w:rPr>
        <w:rFonts w:ascii="Gill Sans" w:eastAsia="Gill Sans" w:hAnsi="Gill Sans" w:cs="Gill Sans"/>
        <w:b/>
        <w:noProof/>
        <w:color w:val="000000"/>
        <w:sz w:val="20"/>
        <w:szCs w:val="20"/>
      </w:rPr>
      <w:t>2</w:t>
    </w:r>
    <w:r>
      <w:rPr>
        <w:rFonts w:ascii="Gill Sans" w:eastAsia="Gill Sans" w:hAnsi="Gill Sans" w:cs="Gill Sans"/>
        <w:b/>
        <w:color w:val="000000"/>
        <w:sz w:val="20"/>
        <w:szCs w:val="20"/>
      </w:rPr>
      <w:fldChar w:fldCharType="end"/>
    </w:r>
    <w:r>
      <w:rPr>
        <w:rFonts w:ascii="Gill Sans" w:eastAsia="Gill Sans" w:hAnsi="Gill Sans" w:cs="Gill Sans"/>
        <w:color w:val="000000"/>
        <w:sz w:val="20"/>
        <w:szCs w:val="20"/>
      </w:rPr>
      <w:t xml:space="preserve"> of </w:t>
    </w:r>
    <w:r>
      <w:rPr>
        <w:rFonts w:ascii="Gill Sans" w:eastAsia="Gill Sans" w:hAnsi="Gill Sans" w:cs="Gill Sans"/>
        <w:b/>
        <w:color w:val="000000"/>
        <w:sz w:val="20"/>
        <w:szCs w:val="20"/>
      </w:rPr>
      <w:fldChar w:fldCharType="begin"/>
    </w:r>
    <w:r>
      <w:rPr>
        <w:rFonts w:ascii="Gill Sans" w:eastAsia="Gill Sans" w:hAnsi="Gill Sans" w:cs="Gill Sans"/>
        <w:b/>
        <w:color w:val="000000"/>
        <w:sz w:val="20"/>
        <w:szCs w:val="20"/>
      </w:rPr>
      <w:instrText>NUMPAGES</w:instrText>
    </w:r>
    <w:r>
      <w:rPr>
        <w:rFonts w:ascii="Gill Sans" w:eastAsia="Gill Sans" w:hAnsi="Gill Sans" w:cs="Gill Sans"/>
        <w:b/>
        <w:color w:val="000000"/>
        <w:sz w:val="20"/>
        <w:szCs w:val="20"/>
      </w:rPr>
      <w:fldChar w:fldCharType="separate"/>
    </w:r>
    <w:r>
      <w:rPr>
        <w:rFonts w:ascii="Gill Sans" w:eastAsia="Gill Sans" w:hAnsi="Gill Sans" w:cs="Gill Sans"/>
        <w:b/>
        <w:noProof/>
        <w:color w:val="000000"/>
        <w:sz w:val="20"/>
        <w:szCs w:val="20"/>
      </w:rPr>
      <w:t>7</w:t>
    </w:r>
    <w:r>
      <w:rPr>
        <w:rFonts w:ascii="Gill Sans" w:eastAsia="Gill Sans" w:hAnsi="Gill Sans" w:cs="Gill Sans"/>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31C0">
      <w:r>
        <w:separator/>
      </w:r>
    </w:p>
  </w:footnote>
  <w:footnote w:type="continuationSeparator" w:id="0">
    <w:p w:rsidR="00000000" w:rsidRDefault="009A3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8BD"/>
    <w:multiLevelType w:val="multilevel"/>
    <w:tmpl w:val="352EB5A6"/>
    <w:lvl w:ilvl="0">
      <w:start w:val="1"/>
      <w:numFmt w:val="decimal"/>
      <w:pStyle w:val="Section-Level1"/>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82270D"/>
    <w:multiLevelType w:val="multilevel"/>
    <w:tmpl w:val="D5827152"/>
    <w:lvl w:ilvl="0">
      <w:start w:val="1"/>
      <w:numFmt w:val="decimal"/>
      <w:pStyle w:val="OATliststyl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DC64DF"/>
    <w:multiLevelType w:val="multilevel"/>
    <w:tmpl w:val="1A628364"/>
    <w:lvl w:ilvl="0">
      <w:start w:val="1"/>
      <w:numFmt w:val="bullet"/>
      <w:lvlText w:val="▪"/>
      <w:lvlJc w:val="left"/>
      <w:pPr>
        <w:ind w:left="360" w:hanging="360"/>
      </w:pPr>
      <w:rPr>
        <w:rFonts w:ascii="Noto Sans Symbols" w:eastAsia="Noto Sans Symbols" w:hAnsi="Noto Sans Symbols" w:cs="Noto Sans Symbols"/>
        <w:color w:val="0092D2"/>
      </w:rPr>
    </w:lvl>
    <w:lvl w:ilvl="1">
      <w:start w:val="1"/>
      <w:numFmt w:val="bullet"/>
      <w:lvlText w:val="▪"/>
      <w:lvlJc w:val="left"/>
      <w:pPr>
        <w:ind w:left="567" w:hanging="283"/>
      </w:pPr>
      <w:rPr>
        <w:rFonts w:ascii="Noto Sans Symbols" w:eastAsia="Noto Sans Symbols" w:hAnsi="Noto Sans Symbols" w:cs="Noto Sans Symbols"/>
        <w:color w:val="808080"/>
      </w:rPr>
    </w:lvl>
    <w:lvl w:ilvl="2">
      <w:start w:val="1"/>
      <w:numFmt w:val="bullet"/>
      <w:lvlText w:val="▪"/>
      <w:lvlJc w:val="left"/>
      <w:pPr>
        <w:ind w:left="851" w:hanging="284"/>
      </w:pPr>
      <w:rPr>
        <w:rFonts w:ascii="Noto Sans Symbols" w:eastAsia="Noto Sans Symbols" w:hAnsi="Noto Sans Symbols" w:cs="Noto Sans Symbols"/>
        <w:color w:val="80808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A0"/>
    <w:rsid w:val="00843CA0"/>
    <w:rsid w:val="009A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A6F6B-A7D4-41E8-A28B-C803F49C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3014F1"/>
    <w:pPr>
      <w:keepNext/>
      <w:spacing w:before="240" w:after="60" w:line="276"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1"/>
    <w:unhideWhenUsed/>
    <w:qFormat/>
    <w:rsid w:val="00D74B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26F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1"/>
    <w:rsid w:val="003014F1"/>
    <w:rPr>
      <w:rFonts w:ascii="Calibri Light" w:eastAsia="Times New Roman" w:hAnsi="Calibri Light" w:cs="Times New Roman"/>
      <w:b/>
      <w:bCs/>
      <w:kern w:val="32"/>
      <w:sz w:val="32"/>
      <w:szCs w:val="32"/>
      <w:lang w:val="en-GB"/>
    </w:rPr>
  </w:style>
  <w:style w:type="paragraph" w:styleId="ListParagraph">
    <w:name w:val="List Paragraph"/>
    <w:basedOn w:val="Normal"/>
    <w:uiPriority w:val="1"/>
    <w:qFormat/>
    <w:rsid w:val="0071677D"/>
    <w:pPr>
      <w:ind w:left="720"/>
      <w:contextualSpacing/>
    </w:pPr>
  </w:style>
  <w:style w:type="paragraph" w:customStyle="1" w:styleId="OATbodystyle1">
    <w:name w:val="OAT body style 1"/>
    <w:basedOn w:val="Normal"/>
    <w:qFormat/>
    <w:rsid w:val="00974255"/>
    <w:pPr>
      <w:tabs>
        <w:tab w:val="left" w:pos="284"/>
      </w:tabs>
      <w:spacing w:after="240" w:line="240" w:lineRule="exact"/>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12442B"/>
    <w:pPr>
      <w:numPr>
        <w:numId w:val="1"/>
      </w:numPr>
      <w:contextualSpacing/>
    </w:p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paragraph" w:customStyle="1" w:styleId="Default">
    <w:name w:val="Default"/>
    <w:rsid w:val="003014F1"/>
    <w:pPr>
      <w:widowControl w:val="0"/>
      <w:autoSpaceDE w:val="0"/>
      <w:autoSpaceDN w:val="0"/>
      <w:adjustRightInd w:val="0"/>
    </w:pPr>
    <w:rPr>
      <w:rFonts w:ascii="Arial" w:eastAsia="Times New Roman" w:hAnsi="Arial" w:cs="Arial"/>
      <w:color w:val="000000"/>
      <w:lang w:val="en-GB"/>
    </w:rPr>
  </w:style>
  <w:style w:type="paragraph" w:customStyle="1" w:styleId="CM148">
    <w:name w:val="CM148"/>
    <w:basedOn w:val="Default"/>
    <w:next w:val="Default"/>
    <w:uiPriority w:val="99"/>
    <w:rsid w:val="003014F1"/>
    <w:rPr>
      <w:color w:val="auto"/>
    </w:rPr>
  </w:style>
  <w:style w:type="paragraph" w:customStyle="1" w:styleId="CM93">
    <w:name w:val="CM93"/>
    <w:basedOn w:val="Default"/>
    <w:next w:val="Default"/>
    <w:uiPriority w:val="99"/>
    <w:rsid w:val="003014F1"/>
    <w:pPr>
      <w:spacing w:line="240" w:lineRule="atLeast"/>
    </w:pPr>
    <w:rPr>
      <w:color w:val="auto"/>
    </w:rPr>
  </w:style>
  <w:style w:type="paragraph" w:customStyle="1" w:styleId="CM94">
    <w:name w:val="CM94"/>
    <w:basedOn w:val="Default"/>
    <w:next w:val="Default"/>
    <w:uiPriority w:val="99"/>
    <w:rsid w:val="003014F1"/>
    <w:pPr>
      <w:spacing w:line="240" w:lineRule="atLeast"/>
    </w:pPr>
    <w:rPr>
      <w:color w:val="auto"/>
    </w:rPr>
  </w:style>
  <w:style w:type="paragraph" w:customStyle="1" w:styleId="CM154">
    <w:name w:val="CM154"/>
    <w:basedOn w:val="Default"/>
    <w:next w:val="Default"/>
    <w:uiPriority w:val="99"/>
    <w:rsid w:val="003014F1"/>
    <w:rPr>
      <w:color w:val="auto"/>
    </w:rPr>
  </w:style>
  <w:style w:type="paragraph" w:customStyle="1" w:styleId="CM172">
    <w:name w:val="CM172"/>
    <w:basedOn w:val="Default"/>
    <w:next w:val="Default"/>
    <w:uiPriority w:val="99"/>
    <w:rsid w:val="003014F1"/>
    <w:rPr>
      <w:color w:val="auto"/>
    </w:rPr>
  </w:style>
  <w:style w:type="character" w:customStyle="1" w:styleId="BalloonTextChar">
    <w:name w:val="Balloon Text Char"/>
    <w:basedOn w:val="DefaultParagraphFont"/>
    <w:link w:val="BalloonText"/>
    <w:uiPriority w:val="99"/>
    <w:semiHidden/>
    <w:rsid w:val="003014F1"/>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3014F1"/>
    <w:rPr>
      <w:rFonts w:ascii="Tahoma" w:eastAsia="Calibri" w:hAnsi="Tahoma" w:cs="Tahoma"/>
      <w:sz w:val="16"/>
      <w:szCs w:val="16"/>
      <w:lang w:val="en-GB"/>
    </w:rPr>
  </w:style>
  <w:style w:type="paragraph" w:customStyle="1" w:styleId="CM153">
    <w:name w:val="CM153"/>
    <w:basedOn w:val="Default"/>
    <w:next w:val="Default"/>
    <w:uiPriority w:val="99"/>
    <w:rsid w:val="003014F1"/>
    <w:rPr>
      <w:color w:val="auto"/>
    </w:rPr>
  </w:style>
  <w:style w:type="paragraph" w:customStyle="1" w:styleId="CM158">
    <w:name w:val="CM158"/>
    <w:basedOn w:val="Default"/>
    <w:next w:val="Default"/>
    <w:uiPriority w:val="99"/>
    <w:rsid w:val="003014F1"/>
    <w:rPr>
      <w:color w:val="auto"/>
    </w:rPr>
  </w:style>
  <w:style w:type="paragraph" w:customStyle="1" w:styleId="CM2">
    <w:name w:val="CM2"/>
    <w:basedOn w:val="Default"/>
    <w:next w:val="Default"/>
    <w:uiPriority w:val="99"/>
    <w:rsid w:val="003014F1"/>
    <w:pPr>
      <w:spacing w:line="258" w:lineRule="atLeast"/>
    </w:pPr>
    <w:rPr>
      <w:color w:val="auto"/>
    </w:rPr>
  </w:style>
  <w:style w:type="paragraph" w:customStyle="1" w:styleId="CM156">
    <w:name w:val="CM156"/>
    <w:basedOn w:val="Default"/>
    <w:next w:val="Default"/>
    <w:uiPriority w:val="99"/>
    <w:rsid w:val="003014F1"/>
    <w:rPr>
      <w:color w:val="auto"/>
    </w:rPr>
  </w:style>
  <w:style w:type="paragraph" w:customStyle="1" w:styleId="CM157">
    <w:name w:val="CM157"/>
    <w:basedOn w:val="Default"/>
    <w:next w:val="Default"/>
    <w:uiPriority w:val="99"/>
    <w:rsid w:val="003014F1"/>
    <w:rPr>
      <w:color w:val="auto"/>
    </w:rPr>
  </w:style>
  <w:style w:type="paragraph" w:customStyle="1" w:styleId="CM163">
    <w:name w:val="CM163"/>
    <w:basedOn w:val="Default"/>
    <w:next w:val="Default"/>
    <w:uiPriority w:val="99"/>
    <w:rsid w:val="003014F1"/>
    <w:rPr>
      <w:color w:val="auto"/>
    </w:rPr>
  </w:style>
  <w:style w:type="paragraph" w:customStyle="1" w:styleId="CM171">
    <w:name w:val="CM171"/>
    <w:basedOn w:val="Default"/>
    <w:next w:val="Default"/>
    <w:uiPriority w:val="99"/>
    <w:rsid w:val="003014F1"/>
    <w:rPr>
      <w:color w:val="auto"/>
    </w:rPr>
  </w:style>
  <w:style w:type="paragraph" w:customStyle="1" w:styleId="CM167">
    <w:name w:val="CM167"/>
    <w:basedOn w:val="Default"/>
    <w:next w:val="Default"/>
    <w:uiPriority w:val="99"/>
    <w:rsid w:val="003014F1"/>
    <w:rPr>
      <w:color w:val="auto"/>
    </w:rPr>
  </w:style>
  <w:style w:type="paragraph" w:customStyle="1" w:styleId="CM4">
    <w:name w:val="CM4"/>
    <w:basedOn w:val="Default"/>
    <w:next w:val="Default"/>
    <w:uiPriority w:val="99"/>
    <w:rsid w:val="003014F1"/>
    <w:pPr>
      <w:spacing w:line="258" w:lineRule="atLeast"/>
    </w:pPr>
    <w:rPr>
      <w:color w:val="auto"/>
    </w:rPr>
  </w:style>
  <w:style w:type="paragraph" w:customStyle="1" w:styleId="CM98">
    <w:name w:val="CM98"/>
    <w:basedOn w:val="Default"/>
    <w:next w:val="Default"/>
    <w:uiPriority w:val="99"/>
    <w:rsid w:val="003014F1"/>
    <w:pPr>
      <w:spacing w:line="246" w:lineRule="atLeast"/>
    </w:pPr>
    <w:rPr>
      <w:color w:val="auto"/>
    </w:rPr>
  </w:style>
  <w:style w:type="paragraph" w:customStyle="1" w:styleId="CM8">
    <w:name w:val="CM8"/>
    <w:basedOn w:val="Default"/>
    <w:next w:val="Default"/>
    <w:uiPriority w:val="99"/>
    <w:rsid w:val="003014F1"/>
    <w:rPr>
      <w:color w:val="auto"/>
    </w:rPr>
  </w:style>
  <w:style w:type="paragraph" w:customStyle="1" w:styleId="CM10">
    <w:name w:val="CM10"/>
    <w:basedOn w:val="Default"/>
    <w:next w:val="Default"/>
    <w:uiPriority w:val="99"/>
    <w:rsid w:val="003014F1"/>
    <w:pPr>
      <w:spacing w:line="353" w:lineRule="atLeast"/>
    </w:pPr>
    <w:rPr>
      <w:color w:val="auto"/>
    </w:rPr>
  </w:style>
  <w:style w:type="character" w:styleId="Hyperlink">
    <w:name w:val="Hyperlink"/>
    <w:uiPriority w:val="99"/>
    <w:unhideWhenUsed/>
    <w:rsid w:val="003014F1"/>
    <w:rPr>
      <w:color w:val="0000FF"/>
      <w:u w:val="single"/>
    </w:rPr>
  </w:style>
  <w:style w:type="paragraph" w:customStyle="1" w:styleId="CM155">
    <w:name w:val="CM155"/>
    <w:basedOn w:val="Default"/>
    <w:next w:val="Default"/>
    <w:uiPriority w:val="99"/>
    <w:rsid w:val="003014F1"/>
    <w:rPr>
      <w:color w:val="auto"/>
    </w:rPr>
  </w:style>
  <w:style w:type="paragraph" w:styleId="NormalWeb">
    <w:name w:val="Normal (Web)"/>
    <w:basedOn w:val="Normal"/>
    <w:uiPriority w:val="99"/>
    <w:unhideWhenUsed/>
    <w:rsid w:val="003014F1"/>
    <w:pPr>
      <w:spacing w:before="100" w:beforeAutospacing="1" w:after="100" w:afterAutospacing="1"/>
    </w:pPr>
    <w:rPr>
      <w:rFonts w:ascii="Times New Roman" w:eastAsia="Times New Roman" w:hAnsi="Times New Roman" w:cs="Times New Roman"/>
      <w:lang w:val="en-GB"/>
    </w:rPr>
  </w:style>
  <w:style w:type="character" w:styleId="Strong">
    <w:name w:val="Strong"/>
    <w:uiPriority w:val="22"/>
    <w:qFormat/>
    <w:rsid w:val="003014F1"/>
    <w:rPr>
      <w:b/>
      <w:bCs/>
    </w:rPr>
  </w:style>
  <w:style w:type="paragraph" w:customStyle="1" w:styleId="CM149">
    <w:name w:val="CM149"/>
    <w:basedOn w:val="Default"/>
    <w:next w:val="Default"/>
    <w:uiPriority w:val="99"/>
    <w:rsid w:val="003014F1"/>
    <w:rPr>
      <w:color w:val="auto"/>
    </w:rPr>
  </w:style>
  <w:style w:type="paragraph" w:customStyle="1" w:styleId="CM162">
    <w:name w:val="CM162"/>
    <w:basedOn w:val="Default"/>
    <w:next w:val="Default"/>
    <w:uiPriority w:val="99"/>
    <w:rsid w:val="003014F1"/>
    <w:rPr>
      <w:color w:val="auto"/>
    </w:rPr>
  </w:style>
  <w:style w:type="paragraph" w:customStyle="1" w:styleId="CM150">
    <w:name w:val="CM150"/>
    <w:basedOn w:val="Normal"/>
    <w:next w:val="Normal"/>
    <w:uiPriority w:val="99"/>
    <w:rsid w:val="003014F1"/>
    <w:pPr>
      <w:widowControl w:val="0"/>
      <w:autoSpaceDE w:val="0"/>
      <w:autoSpaceDN w:val="0"/>
      <w:adjustRightInd w:val="0"/>
    </w:pPr>
    <w:rPr>
      <w:rFonts w:ascii="Arial" w:eastAsia="Times New Roman" w:hAnsi="Arial" w:cs="Arial"/>
      <w:lang w:val="en-GB"/>
    </w:rPr>
  </w:style>
  <w:style w:type="paragraph" w:customStyle="1" w:styleId="CM159">
    <w:name w:val="CM159"/>
    <w:basedOn w:val="Normal"/>
    <w:next w:val="Normal"/>
    <w:uiPriority w:val="99"/>
    <w:rsid w:val="003014F1"/>
    <w:pPr>
      <w:widowControl w:val="0"/>
      <w:autoSpaceDE w:val="0"/>
      <w:autoSpaceDN w:val="0"/>
      <w:adjustRightInd w:val="0"/>
    </w:pPr>
    <w:rPr>
      <w:rFonts w:ascii="Arial" w:eastAsia="Times New Roman" w:hAnsi="Arial" w:cs="Arial"/>
      <w:lang w:val="en-GB"/>
    </w:rPr>
  </w:style>
  <w:style w:type="paragraph" w:customStyle="1" w:styleId="CM101">
    <w:name w:val="CM101"/>
    <w:basedOn w:val="Normal"/>
    <w:next w:val="Normal"/>
    <w:uiPriority w:val="99"/>
    <w:rsid w:val="003014F1"/>
    <w:pPr>
      <w:widowControl w:val="0"/>
      <w:autoSpaceDE w:val="0"/>
      <w:autoSpaceDN w:val="0"/>
      <w:adjustRightInd w:val="0"/>
      <w:spacing w:line="523" w:lineRule="atLeast"/>
    </w:pPr>
    <w:rPr>
      <w:rFonts w:ascii="Arial" w:eastAsia="Times New Roman" w:hAnsi="Arial" w:cs="Arial"/>
      <w:lang w:val="en-GB"/>
    </w:rPr>
  </w:style>
  <w:style w:type="paragraph" w:customStyle="1" w:styleId="CM173">
    <w:name w:val="CM173"/>
    <w:basedOn w:val="Normal"/>
    <w:next w:val="Normal"/>
    <w:uiPriority w:val="99"/>
    <w:rsid w:val="003014F1"/>
    <w:pPr>
      <w:widowControl w:val="0"/>
      <w:autoSpaceDE w:val="0"/>
      <w:autoSpaceDN w:val="0"/>
      <w:adjustRightInd w:val="0"/>
    </w:pPr>
    <w:rPr>
      <w:rFonts w:ascii="Arial" w:eastAsia="Times New Roman" w:hAnsi="Arial" w:cs="Arial"/>
      <w:lang w:val="en-GB"/>
    </w:rPr>
  </w:style>
  <w:style w:type="paragraph" w:customStyle="1" w:styleId="CM152">
    <w:name w:val="CM152"/>
    <w:basedOn w:val="Default"/>
    <w:next w:val="Default"/>
    <w:uiPriority w:val="99"/>
    <w:rsid w:val="003014F1"/>
    <w:rPr>
      <w:color w:val="auto"/>
    </w:rPr>
  </w:style>
  <w:style w:type="paragraph" w:customStyle="1" w:styleId="CM1">
    <w:name w:val="CM1"/>
    <w:basedOn w:val="Default"/>
    <w:next w:val="Default"/>
    <w:uiPriority w:val="99"/>
    <w:rsid w:val="003014F1"/>
    <w:rPr>
      <w:color w:val="auto"/>
    </w:rPr>
  </w:style>
  <w:style w:type="paragraph" w:customStyle="1" w:styleId="CM168">
    <w:name w:val="CM168"/>
    <w:basedOn w:val="Default"/>
    <w:next w:val="Default"/>
    <w:uiPriority w:val="99"/>
    <w:rsid w:val="003014F1"/>
    <w:rPr>
      <w:color w:val="auto"/>
    </w:rPr>
  </w:style>
  <w:style w:type="paragraph" w:customStyle="1" w:styleId="CM169">
    <w:name w:val="CM169"/>
    <w:basedOn w:val="Default"/>
    <w:next w:val="Default"/>
    <w:uiPriority w:val="99"/>
    <w:rsid w:val="003014F1"/>
    <w:rPr>
      <w:color w:val="auto"/>
    </w:rPr>
  </w:style>
  <w:style w:type="paragraph" w:customStyle="1" w:styleId="CM170">
    <w:name w:val="CM170"/>
    <w:basedOn w:val="Default"/>
    <w:next w:val="Default"/>
    <w:uiPriority w:val="99"/>
    <w:rsid w:val="003014F1"/>
    <w:rPr>
      <w:color w:val="auto"/>
    </w:rPr>
  </w:style>
  <w:style w:type="paragraph" w:customStyle="1" w:styleId="CM81">
    <w:name w:val="CM81"/>
    <w:basedOn w:val="Default"/>
    <w:next w:val="Default"/>
    <w:uiPriority w:val="99"/>
    <w:rsid w:val="003014F1"/>
    <w:pPr>
      <w:spacing w:line="231" w:lineRule="atLeast"/>
    </w:pPr>
    <w:rPr>
      <w:color w:val="auto"/>
    </w:rPr>
  </w:style>
  <w:style w:type="paragraph" w:customStyle="1" w:styleId="CM146">
    <w:name w:val="CM146"/>
    <w:basedOn w:val="Default"/>
    <w:next w:val="Default"/>
    <w:uiPriority w:val="99"/>
    <w:rsid w:val="003014F1"/>
    <w:rPr>
      <w:color w:val="auto"/>
    </w:rPr>
  </w:style>
  <w:style w:type="paragraph" w:customStyle="1" w:styleId="CM147">
    <w:name w:val="CM147"/>
    <w:basedOn w:val="Default"/>
    <w:next w:val="Default"/>
    <w:uiPriority w:val="99"/>
    <w:rsid w:val="003014F1"/>
    <w:rPr>
      <w:color w:val="auto"/>
    </w:rPr>
  </w:style>
  <w:style w:type="paragraph" w:customStyle="1" w:styleId="CM151">
    <w:name w:val="CM151"/>
    <w:basedOn w:val="Default"/>
    <w:next w:val="Default"/>
    <w:uiPriority w:val="99"/>
    <w:rsid w:val="003014F1"/>
    <w:rPr>
      <w:color w:val="auto"/>
    </w:rPr>
  </w:style>
  <w:style w:type="paragraph" w:customStyle="1" w:styleId="CM54">
    <w:name w:val="CM54"/>
    <w:basedOn w:val="Default"/>
    <w:next w:val="Default"/>
    <w:uiPriority w:val="99"/>
    <w:rsid w:val="003014F1"/>
    <w:pPr>
      <w:spacing w:line="196" w:lineRule="atLeast"/>
    </w:pPr>
    <w:rPr>
      <w:color w:val="auto"/>
    </w:rPr>
  </w:style>
  <w:style w:type="paragraph" w:customStyle="1" w:styleId="CM164">
    <w:name w:val="CM164"/>
    <w:basedOn w:val="Default"/>
    <w:next w:val="Default"/>
    <w:uiPriority w:val="99"/>
    <w:rsid w:val="003014F1"/>
    <w:rPr>
      <w:color w:val="auto"/>
    </w:rPr>
  </w:style>
  <w:style w:type="paragraph" w:customStyle="1" w:styleId="CM70">
    <w:name w:val="CM70"/>
    <w:basedOn w:val="Default"/>
    <w:next w:val="Default"/>
    <w:uiPriority w:val="99"/>
    <w:rsid w:val="003014F1"/>
    <w:pPr>
      <w:spacing w:line="231" w:lineRule="atLeast"/>
    </w:pPr>
    <w:rPr>
      <w:color w:val="auto"/>
    </w:rPr>
  </w:style>
  <w:style w:type="paragraph" w:customStyle="1" w:styleId="CM71">
    <w:name w:val="CM71"/>
    <w:basedOn w:val="Default"/>
    <w:next w:val="Default"/>
    <w:uiPriority w:val="99"/>
    <w:rsid w:val="003014F1"/>
    <w:pPr>
      <w:spacing w:line="231" w:lineRule="atLeast"/>
    </w:pPr>
    <w:rPr>
      <w:color w:val="auto"/>
    </w:rPr>
  </w:style>
  <w:style w:type="paragraph" w:customStyle="1" w:styleId="CM166">
    <w:name w:val="CM166"/>
    <w:basedOn w:val="Default"/>
    <w:next w:val="Default"/>
    <w:uiPriority w:val="99"/>
    <w:rsid w:val="003014F1"/>
    <w:rPr>
      <w:color w:val="auto"/>
    </w:rPr>
  </w:style>
  <w:style w:type="paragraph" w:customStyle="1" w:styleId="CM75">
    <w:name w:val="CM75"/>
    <w:basedOn w:val="Default"/>
    <w:next w:val="Default"/>
    <w:uiPriority w:val="99"/>
    <w:rsid w:val="003014F1"/>
    <w:pPr>
      <w:spacing w:line="231" w:lineRule="atLeast"/>
    </w:pPr>
    <w:rPr>
      <w:color w:val="auto"/>
    </w:rPr>
  </w:style>
  <w:style w:type="paragraph" w:customStyle="1" w:styleId="CM76">
    <w:name w:val="CM76"/>
    <w:basedOn w:val="Default"/>
    <w:next w:val="Default"/>
    <w:uiPriority w:val="99"/>
    <w:rsid w:val="003014F1"/>
    <w:pPr>
      <w:spacing w:line="200" w:lineRule="atLeast"/>
    </w:pPr>
    <w:rPr>
      <w:color w:val="auto"/>
    </w:rPr>
  </w:style>
  <w:style w:type="paragraph" w:customStyle="1" w:styleId="CM77">
    <w:name w:val="CM77"/>
    <w:basedOn w:val="Default"/>
    <w:next w:val="Default"/>
    <w:uiPriority w:val="99"/>
    <w:rsid w:val="003014F1"/>
    <w:pPr>
      <w:spacing w:line="231" w:lineRule="atLeast"/>
    </w:pPr>
    <w:rPr>
      <w:color w:val="auto"/>
    </w:rPr>
  </w:style>
  <w:style w:type="paragraph" w:customStyle="1" w:styleId="CM80">
    <w:name w:val="CM80"/>
    <w:basedOn w:val="Default"/>
    <w:next w:val="Default"/>
    <w:uiPriority w:val="99"/>
    <w:rsid w:val="003014F1"/>
    <w:pPr>
      <w:spacing w:line="198" w:lineRule="atLeast"/>
    </w:pPr>
    <w:rPr>
      <w:color w:val="auto"/>
    </w:rPr>
  </w:style>
  <w:style w:type="paragraph" w:customStyle="1" w:styleId="CM165">
    <w:name w:val="CM165"/>
    <w:basedOn w:val="Default"/>
    <w:next w:val="Default"/>
    <w:uiPriority w:val="99"/>
    <w:rsid w:val="003014F1"/>
    <w:rPr>
      <w:color w:val="auto"/>
    </w:rPr>
  </w:style>
  <w:style w:type="character" w:styleId="CommentReference">
    <w:name w:val="annotation reference"/>
    <w:uiPriority w:val="99"/>
    <w:semiHidden/>
    <w:unhideWhenUsed/>
    <w:rsid w:val="003014F1"/>
    <w:rPr>
      <w:sz w:val="16"/>
      <w:szCs w:val="16"/>
    </w:rPr>
  </w:style>
  <w:style w:type="paragraph" w:styleId="CommentText">
    <w:name w:val="annotation text"/>
    <w:basedOn w:val="Normal"/>
    <w:link w:val="Comment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3014F1"/>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3014F1"/>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014F1"/>
    <w:rPr>
      <w:b/>
      <w:bCs/>
    </w:rPr>
  </w:style>
  <w:style w:type="paragraph" w:styleId="TOCHeading">
    <w:name w:val="TOC Heading"/>
    <w:basedOn w:val="Heading1"/>
    <w:next w:val="Normal"/>
    <w:uiPriority w:val="39"/>
    <w:unhideWhenUsed/>
    <w:qFormat/>
    <w:rsid w:val="003014F1"/>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3014F1"/>
    <w:pPr>
      <w:tabs>
        <w:tab w:val="right" w:leader="dot" w:pos="9016"/>
      </w:tabs>
      <w:spacing w:before="120" w:after="120" w:line="276" w:lineRule="auto"/>
    </w:pPr>
    <w:rPr>
      <w:rFonts w:ascii="Gill Sans MT" w:eastAsia="Calibri" w:hAnsi="Gill Sans MT" w:cs="Times New Roman"/>
      <w:b/>
      <w:noProof/>
      <w:sz w:val="22"/>
      <w:szCs w:val="22"/>
      <w:lang w:val="en-GB"/>
    </w:rPr>
  </w:style>
  <w:style w:type="paragraph" w:styleId="TOC3">
    <w:name w:val="toc 3"/>
    <w:basedOn w:val="Normal"/>
    <w:next w:val="Normal"/>
    <w:autoRedefine/>
    <w:uiPriority w:val="39"/>
    <w:unhideWhenUsed/>
    <w:rsid w:val="00614DAE"/>
    <w:pPr>
      <w:spacing w:after="200" w:line="276" w:lineRule="auto"/>
      <w:ind w:left="440"/>
    </w:pPr>
    <w:rPr>
      <w:rFonts w:ascii="Gill Sans MT" w:eastAsia="Calibri" w:hAnsi="Gill Sans MT" w:cs="Times New Roman"/>
      <w:sz w:val="22"/>
      <w:szCs w:val="22"/>
      <w:lang w:val="en-GB"/>
    </w:rPr>
  </w:style>
  <w:style w:type="paragraph" w:styleId="TOC2">
    <w:name w:val="toc 2"/>
    <w:basedOn w:val="Normal"/>
    <w:next w:val="Normal"/>
    <w:autoRedefine/>
    <w:uiPriority w:val="39"/>
    <w:unhideWhenUsed/>
    <w:rsid w:val="003014F1"/>
    <w:pPr>
      <w:spacing w:after="200" w:line="276" w:lineRule="auto"/>
      <w:ind w:left="220"/>
    </w:pPr>
    <w:rPr>
      <w:rFonts w:ascii="Gill Sans MT" w:eastAsia="Calibri" w:hAnsi="Gill Sans MT" w:cs="Times New Roman"/>
      <w:sz w:val="20"/>
      <w:szCs w:val="22"/>
      <w:lang w:val="en-GB"/>
    </w:rPr>
  </w:style>
  <w:style w:type="paragraph" w:styleId="FootnoteText">
    <w:name w:val="footnote text"/>
    <w:basedOn w:val="Normal"/>
    <w:link w:val="Footnote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3014F1"/>
    <w:rPr>
      <w:rFonts w:ascii="Calibri" w:eastAsia="Calibri" w:hAnsi="Calibri" w:cs="Times New Roman"/>
      <w:sz w:val="20"/>
      <w:szCs w:val="20"/>
      <w:lang w:val="en-GB"/>
    </w:rPr>
  </w:style>
  <w:style w:type="character" w:styleId="FootnoteReference">
    <w:name w:val="footnote reference"/>
    <w:uiPriority w:val="99"/>
    <w:semiHidden/>
    <w:unhideWhenUsed/>
    <w:rsid w:val="003014F1"/>
    <w:rPr>
      <w:vertAlign w:val="superscript"/>
    </w:rPr>
  </w:style>
  <w:style w:type="character" w:customStyle="1" w:styleId="EndnoteTextChar">
    <w:name w:val="Endnote Text Char"/>
    <w:basedOn w:val="DefaultParagraphFont"/>
    <w:link w:val="EndnoteText"/>
    <w:uiPriority w:val="99"/>
    <w:semiHidden/>
    <w:rsid w:val="003014F1"/>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3014F1"/>
    <w:pPr>
      <w:spacing w:after="200" w:line="276" w:lineRule="auto"/>
    </w:pPr>
    <w:rPr>
      <w:rFonts w:ascii="Calibri" w:eastAsia="Calibri" w:hAnsi="Calibri" w:cs="Times New Roman"/>
      <w:sz w:val="20"/>
      <w:szCs w:val="20"/>
      <w:lang w:val="en-GB"/>
    </w:rPr>
  </w:style>
  <w:style w:type="character" w:customStyle="1" w:styleId="Heading3Char">
    <w:name w:val="Heading 3 Char"/>
    <w:basedOn w:val="DefaultParagraphFont"/>
    <w:link w:val="Heading3"/>
    <w:uiPriority w:val="9"/>
    <w:semiHidden/>
    <w:rsid w:val="008426F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F5F9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D74B9A"/>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D74B9A"/>
    <w:pPr>
      <w:widowControl w:val="0"/>
      <w:ind w:left="801" w:hanging="684"/>
    </w:pPr>
    <w:rPr>
      <w:rFonts w:ascii="Arial" w:eastAsia="Arial" w:hAnsi="Arial"/>
      <w:sz w:val="22"/>
      <w:szCs w:val="22"/>
    </w:rPr>
  </w:style>
  <w:style w:type="character" w:customStyle="1" w:styleId="BodyTextChar">
    <w:name w:val="Body Text Char"/>
    <w:basedOn w:val="DefaultParagraphFont"/>
    <w:link w:val="BodyText"/>
    <w:uiPriority w:val="1"/>
    <w:rsid w:val="00D74B9A"/>
    <w:rPr>
      <w:rFonts w:ascii="Arial" w:eastAsia="Arial" w:hAnsi="Arial"/>
      <w:sz w:val="22"/>
      <w:szCs w:val="22"/>
    </w:rPr>
  </w:style>
  <w:style w:type="paragraph" w:customStyle="1" w:styleId="TableParagraph">
    <w:name w:val="Table Paragraph"/>
    <w:basedOn w:val="Normal"/>
    <w:uiPriority w:val="1"/>
    <w:qFormat/>
    <w:rsid w:val="00D74B9A"/>
    <w:pPr>
      <w:widowControl w:val="0"/>
    </w:pPr>
    <w:rPr>
      <w:rFonts w:eastAsiaTheme="minorHAnsi"/>
      <w:sz w:val="22"/>
      <w:szCs w:val="22"/>
    </w:rPr>
  </w:style>
  <w:style w:type="paragraph" w:styleId="Revision">
    <w:name w:val="Revision"/>
    <w:hidden/>
    <w:uiPriority w:val="99"/>
    <w:semiHidden/>
    <w:rsid w:val="00AE5EA8"/>
  </w:style>
  <w:style w:type="paragraph" w:customStyle="1" w:styleId="Section-Level1">
    <w:name w:val="Section - Level 1"/>
    <w:basedOn w:val="Heading2"/>
    <w:qFormat/>
    <w:rsid w:val="00FA5CD0"/>
    <w:pPr>
      <w:numPr>
        <w:numId w:val="3"/>
      </w:numPr>
      <w:tabs>
        <w:tab w:val="num" w:pos="360"/>
      </w:tabs>
      <w:spacing w:before="360" w:after="120" w:line="276" w:lineRule="auto"/>
      <w:ind w:left="0" w:firstLine="0"/>
    </w:pPr>
    <w:rPr>
      <w:rFonts w:asciiTheme="minorHAnsi" w:hAnsiTheme="minorHAnsi"/>
      <w:b/>
      <w:bCs/>
      <w:color w:val="4F81BD" w:themeColor="accent1"/>
      <w:sz w:val="24"/>
      <w:lang w:val="en-GB"/>
    </w:rPr>
  </w:style>
  <w:style w:type="character" w:customStyle="1" w:styleId="Section-Level2Char">
    <w:name w:val="Section - Level 2 Char"/>
    <w:basedOn w:val="DefaultParagraphFont"/>
    <w:link w:val="Section-Level2"/>
    <w:locked/>
    <w:rsid w:val="00FA5CD0"/>
  </w:style>
  <w:style w:type="paragraph" w:customStyle="1" w:styleId="Section-Level2">
    <w:name w:val="Section - Level 2"/>
    <w:basedOn w:val="Normal"/>
    <w:link w:val="Section-Level2Char"/>
    <w:qFormat/>
    <w:rsid w:val="00FA5CD0"/>
    <w:pPr>
      <w:numPr>
        <w:ilvl w:val="1"/>
        <w:numId w:val="3"/>
      </w:numPr>
      <w:spacing w:after="120" w:line="276" w:lineRule="auto"/>
      <w:ind w:left="907" w:hanging="547"/>
    </w:pPr>
  </w:style>
  <w:style w:type="paragraph" w:customStyle="1" w:styleId="Section-Level3">
    <w:name w:val="Section - Level 3"/>
    <w:basedOn w:val="Section-Level2"/>
    <w:qFormat/>
    <w:rsid w:val="00FA5CD0"/>
    <w:pPr>
      <w:numPr>
        <w:ilvl w:val="2"/>
      </w:numPr>
      <w:tabs>
        <w:tab w:val="num" w:pos="360"/>
      </w:tabs>
      <w:ind w:left="1620"/>
    </w:pPr>
  </w:style>
  <w:style w:type="character" w:customStyle="1" w:styleId="Mention">
    <w:name w:val="Mention"/>
    <w:basedOn w:val="DefaultParagraphFont"/>
    <w:uiPriority w:val="99"/>
    <w:semiHidden/>
    <w:unhideWhenUsed/>
    <w:rsid w:val="00FA5CD0"/>
    <w:rPr>
      <w:color w:val="2B579A"/>
      <w:shd w:val="clear" w:color="auto" w:fill="E6E6E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ick.hudson@ormistonacademi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wOehvhWl7uOnEyvAqJ6nyEWpVA==">AMUW2mXumsQqAWm3Q/MKFHn5GbwCHS/S58MUziezDldgP7V+4bwEIR+7NZ+mJ3XaJzwp5MINnlgG0i8ZpxRea5cPX82Ucgcn8kX5TyiLn5Ya2AwWepUjhTsFkLZVozDreU+LeETV4NE8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Victoria.Taylor@oatoe.co.uk</dc:creator>
  <cp:lastModifiedBy>Julie Damps</cp:lastModifiedBy>
  <cp:revision>2</cp:revision>
  <dcterms:created xsi:type="dcterms:W3CDTF">2019-12-06T11:39:00Z</dcterms:created>
  <dcterms:modified xsi:type="dcterms:W3CDTF">2019-12-06T11:39:00Z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